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8BE71">
      <w:pPr>
        <w:shd w:val="clear"/>
        <w:spacing w:line="300" w:lineRule="auto"/>
        <w:jc w:val="center"/>
        <w:rPr>
          <w:rFonts w:ascii="Times New Roman" w:hAnsi="Times New Roman" w:eastAsia="黑体"/>
          <w:b/>
          <w:bCs/>
          <w:color w:val="000000"/>
          <w:w w:val="90"/>
          <w:sz w:val="44"/>
          <w:szCs w:val="44"/>
          <w:highlight w:val="none"/>
        </w:rPr>
      </w:pPr>
    </w:p>
    <w:p w14:paraId="2D4DE889">
      <w:pPr>
        <w:widowControl w:val="0"/>
        <w:shd w:val="clear"/>
        <w:spacing w:before="468" w:beforeLines="150" w:after="468" w:afterLines="150"/>
        <w:jc w:val="center"/>
        <w:rPr>
          <w:rFonts w:hint="eastAsia" w:ascii="方正小标宋简体" w:hAnsi="方正小标宋简体" w:eastAsia="方正小标宋简体" w:cs="方正小标宋简体"/>
          <w:b/>
          <w:kern w:val="2"/>
          <w:sz w:val="52"/>
          <w:szCs w:val="52"/>
          <w:highlight w:val="none"/>
        </w:rPr>
      </w:pPr>
      <w:r>
        <w:rPr>
          <w:rFonts w:hint="eastAsia" w:ascii="方正小标宋简体" w:hAnsi="方正小标宋简体" w:eastAsia="方正小标宋简体" w:cs="方正小标宋简体"/>
          <w:b/>
          <w:kern w:val="2"/>
          <w:sz w:val="52"/>
          <w:szCs w:val="52"/>
          <w:highlight w:val="none"/>
        </w:rPr>
        <w:t>山东济钢环保新材料有限公司</w:t>
      </w:r>
    </w:p>
    <w:p w14:paraId="251DEAFA">
      <w:pPr>
        <w:shd w:val="clear"/>
        <w:spacing w:line="300" w:lineRule="auto"/>
        <w:ind w:left="0" w:leftChars="0" w:firstLine="0" w:firstLineChars="0"/>
        <w:jc w:val="center"/>
        <w:rPr>
          <w:rFonts w:hint="eastAsia" w:ascii="方正小标宋简体" w:hAnsi="方正小标宋简体" w:eastAsia="方正小标宋简体" w:cs="方正小标宋简体"/>
          <w:b/>
          <w:bCs/>
          <w:color w:val="000000"/>
          <w:w w:val="90"/>
          <w:sz w:val="44"/>
          <w:szCs w:val="44"/>
          <w:highlight w:val="none"/>
        </w:rPr>
      </w:pPr>
      <w:r>
        <w:rPr>
          <w:rFonts w:hint="eastAsia" w:ascii="方正小标宋简体" w:hAnsi="方正小标宋简体" w:eastAsia="方正小标宋简体" w:cs="方正小标宋简体"/>
          <w:b/>
          <w:bCs/>
          <w:color w:val="000000"/>
          <w:w w:val="90"/>
          <w:sz w:val="44"/>
          <w:szCs w:val="44"/>
          <w:highlight w:val="none"/>
          <w:lang w:eastAsia="zh-CN"/>
        </w:rPr>
        <w:t>2025年-2026年</w:t>
      </w:r>
      <w:r>
        <w:rPr>
          <w:rFonts w:hint="eastAsia" w:ascii="方正小标宋简体" w:hAnsi="方正小标宋简体" w:eastAsia="方正小标宋简体" w:cs="方正小标宋简体"/>
          <w:b/>
          <w:bCs/>
          <w:color w:val="000000"/>
          <w:w w:val="90"/>
          <w:sz w:val="44"/>
          <w:szCs w:val="44"/>
          <w:highlight w:val="none"/>
        </w:rPr>
        <w:t>低压电机及水泵</w:t>
      </w:r>
    </w:p>
    <w:p w14:paraId="0EE784D5">
      <w:pPr>
        <w:shd w:val="clear"/>
        <w:spacing w:line="300" w:lineRule="auto"/>
        <w:ind w:left="0" w:leftChars="0" w:firstLine="0" w:firstLineChars="0"/>
        <w:jc w:val="center"/>
        <w:rPr>
          <w:rFonts w:hint="eastAsia" w:ascii="方正小标宋简体" w:hAnsi="方正小标宋简体" w:eastAsia="方正小标宋简体" w:cs="方正小标宋简体"/>
          <w:b/>
          <w:bCs/>
          <w:color w:val="000000"/>
          <w:w w:val="90"/>
          <w:sz w:val="44"/>
          <w:szCs w:val="44"/>
          <w:highlight w:val="none"/>
        </w:rPr>
      </w:pPr>
      <w:r>
        <w:rPr>
          <w:rFonts w:hint="eastAsia" w:ascii="方正小标宋简体" w:hAnsi="方正小标宋简体" w:eastAsia="方正小标宋简体" w:cs="方正小标宋简体"/>
          <w:b/>
          <w:bCs/>
          <w:color w:val="000000"/>
          <w:w w:val="90"/>
          <w:sz w:val="44"/>
          <w:szCs w:val="44"/>
          <w:highlight w:val="none"/>
        </w:rPr>
        <w:t>维修保养服务</w:t>
      </w:r>
    </w:p>
    <w:p w14:paraId="7486897C">
      <w:pPr>
        <w:shd w:val="clear"/>
        <w:spacing w:line="300" w:lineRule="auto"/>
        <w:ind w:firstLine="3182" w:firstLineChars="800"/>
        <w:rPr>
          <w:rFonts w:hint="eastAsia" w:ascii="方正小标宋简体" w:hAnsi="方正小标宋简体" w:eastAsia="方正小标宋简体" w:cs="方正小标宋简体"/>
          <w:b/>
          <w:bCs/>
          <w:color w:val="000000"/>
          <w:w w:val="90"/>
          <w:sz w:val="44"/>
          <w:szCs w:val="44"/>
          <w:highlight w:val="none"/>
        </w:rPr>
      </w:pPr>
    </w:p>
    <w:p w14:paraId="2761CCF4">
      <w:pPr>
        <w:shd w:val="clear"/>
        <w:spacing w:line="300" w:lineRule="auto"/>
        <w:ind w:firstLine="3182" w:firstLineChars="800"/>
        <w:rPr>
          <w:rFonts w:hint="eastAsia" w:ascii="方正小标宋简体" w:hAnsi="方正小标宋简体" w:eastAsia="方正小标宋简体" w:cs="方正小标宋简体"/>
          <w:b/>
          <w:bCs/>
          <w:color w:val="000000"/>
          <w:w w:val="90"/>
          <w:sz w:val="44"/>
          <w:szCs w:val="44"/>
          <w:highlight w:val="none"/>
        </w:rPr>
      </w:pPr>
    </w:p>
    <w:p w14:paraId="45CECF26">
      <w:pPr>
        <w:widowControl w:val="0"/>
        <w:shd w:val="clear"/>
        <w:spacing w:before="468" w:beforeLines="150" w:after="468" w:afterLines="150"/>
        <w:jc w:val="center"/>
        <w:rPr>
          <w:rFonts w:hint="eastAsia" w:ascii="方正小标宋简体" w:hAnsi="方正小标宋简体" w:eastAsia="方正小标宋简体" w:cs="方正小标宋简体"/>
          <w:b/>
          <w:kern w:val="2"/>
          <w:sz w:val="52"/>
          <w:szCs w:val="52"/>
          <w:highlight w:val="none"/>
        </w:rPr>
      </w:pPr>
      <w:r>
        <w:rPr>
          <w:rFonts w:hint="eastAsia" w:ascii="方正小标宋简体" w:hAnsi="方正小标宋简体" w:eastAsia="方正小标宋简体" w:cs="方正小标宋简体"/>
          <w:b/>
          <w:kern w:val="2"/>
          <w:sz w:val="52"/>
          <w:szCs w:val="52"/>
          <w:highlight w:val="none"/>
        </w:rPr>
        <w:t>招标文件</w:t>
      </w:r>
    </w:p>
    <w:p w14:paraId="1AAAD2BF">
      <w:pPr>
        <w:shd w:val="clear"/>
        <w:spacing w:line="300" w:lineRule="auto"/>
        <w:jc w:val="center"/>
        <w:rPr>
          <w:rFonts w:hint="eastAsia" w:ascii="方正小标宋简体" w:hAnsi="方正小标宋简体" w:eastAsia="方正小标宋简体" w:cs="方正小标宋简体"/>
          <w:b/>
          <w:bCs/>
          <w:color w:val="000000"/>
          <w:w w:val="90"/>
          <w:sz w:val="44"/>
          <w:szCs w:val="44"/>
          <w:highlight w:val="none"/>
        </w:rPr>
      </w:pPr>
    </w:p>
    <w:p w14:paraId="1157993A">
      <w:pPr>
        <w:shd w:val="clear"/>
        <w:spacing w:line="300" w:lineRule="auto"/>
        <w:ind w:firstLine="6401" w:firstLineChars="1449"/>
        <w:rPr>
          <w:rFonts w:hint="eastAsia" w:ascii="方正小标宋简体" w:hAnsi="方正小标宋简体" w:eastAsia="方正小标宋简体" w:cs="方正小标宋简体"/>
          <w:b/>
          <w:color w:val="000000"/>
          <w:sz w:val="44"/>
          <w:szCs w:val="44"/>
          <w:highlight w:val="none"/>
        </w:rPr>
      </w:pPr>
    </w:p>
    <w:p w14:paraId="72132E3B">
      <w:pPr>
        <w:shd w:val="clear"/>
        <w:spacing w:line="300" w:lineRule="auto"/>
        <w:ind w:firstLine="5288" w:firstLineChars="1646"/>
        <w:rPr>
          <w:rFonts w:hint="eastAsia" w:ascii="方正小标宋简体" w:hAnsi="方正小标宋简体" w:eastAsia="方正小标宋简体" w:cs="方正小标宋简体"/>
          <w:b/>
          <w:color w:val="000000"/>
          <w:sz w:val="32"/>
          <w:szCs w:val="32"/>
          <w:highlight w:val="none"/>
          <w:u w:val="single"/>
        </w:rPr>
      </w:pPr>
    </w:p>
    <w:p w14:paraId="07470409">
      <w:pPr>
        <w:shd w:val="clear"/>
        <w:tabs>
          <w:tab w:val="left" w:pos="1134"/>
          <w:tab w:val="left" w:pos="5481"/>
          <w:tab w:val="left" w:pos="5859"/>
        </w:tabs>
        <w:spacing w:line="300" w:lineRule="auto"/>
        <w:rPr>
          <w:rFonts w:hint="eastAsia" w:ascii="方正小标宋简体" w:hAnsi="方正小标宋简体" w:eastAsia="方正小标宋简体" w:cs="方正小标宋简体"/>
          <w:b/>
          <w:color w:val="000000"/>
          <w:sz w:val="28"/>
          <w:szCs w:val="28"/>
          <w:highlight w:val="none"/>
        </w:rPr>
      </w:pPr>
    </w:p>
    <w:p w14:paraId="61757F00">
      <w:pPr>
        <w:shd w:val="clear"/>
        <w:tabs>
          <w:tab w:val="left" w:pos="1134"/>
          <w:tab w:val="left" w:pos="5481"/>
          <w:tab w:val="left" w:pos="5859"/>
        </w:tabs>
        <w:spacing w:line="300" w:lineRule="auto"/>
        <w:rPr>
          <w:rFonts w:hint="eastAsia" w:ascii="方正小标宋简体" w:hAnsi="方正小标宋简体" w:eastAsia="方正小标宋简体" w:cs="方正小标宋简体"/>
          <w:b/>
          <w:color w:val="000000"/>
          <w:sz w:val="28"/>
          <w:szCs w:val="28"/>
          <w:highlight w:val="none"/>
        </w:rPr>
      </w:pPr>
    </w:p>
    <w:p w14:paraId="12219B61">
      <w:pPr>
        <w:shd w:val="clear"/>
        <w:spacing w:line="300" w:lineRule="auto"/>
        <w:ind w:firstLine="560" w:firstLineChars="200"/>
        <w:rPr>
          <w:rFonts w:hint="eastAsia" w:ascii="方正小标宋简体" w:hAnsi="方正小标宋简体" w:eastAsia="方正小标宋简体" w:cs="方正小标宋简体"/>
          <w:bCs/>
          <w:color w:val="000000"/>
          <w:sz w:val="32"/>
          <w:szCs w:val="32"/>
          <w:highlight w:val="none"/>
        </w:rPr>
      </w:pPr>
      <w:r>
        <w:rPr>
          <w:rFonts w:hint="eastAsia" w:ascii="方正小标宋简体" w:hAnsi="方正小标宋简体" w:eastAsia="方正小标宋简体" w:cs="方正小标宋简体"/>
          <w:bCs/>
          <w:color w:val="000000"/>
          <w:sz w:val="28"/>
          <w:szCs w:val="28"/>
          <w:highlight w:val="none"/>
        </w:rPr>
        <w:t xml:space="preserve">   </w:t>
      </w:r>
      <w:r>
        <w:rPr>
          <w:rFonts w:hint="eastAsia" w:ascii="方正小标宋简体" w:hAnsi="方正小标宋简体" w:eastAsia="方正小标宋简体" w:cs="方正小标宋简体"/>
          <w:bCs/>
          <w:color w:val="000000"/>
          <w:sz w:val="32"/>
          <w:szCs w:val="32"/>
          <w:highlight w:val="none"/>
        </w:rPr>
        <w:t xml:space="preserve">    招标人：山东济钢环保新材料有限公司 </w:t>
      </w:r>
    </w:p>
    <w:p w14:paraId="2F9CEC52">
      <w:pPr>
        <w:pStyle w:val="80"/>
        <w:shd w:val="clear" w:color="auto"/>
        <w:spacing w:line="300" w:lineRule="auto"/>
        <w:jc w:val="center"/>
        <w:rPr>
          <w:rFonts w:hint="eastAsia" w:ascii="方正小标宋简体" w:hAnsi="方正小标宋简体" w:eastAsia="方正小标宋简体" w:cs="方正小标宋简体"/>
          <w:bCs/>
          <w:color w:val="000000"/>
          <w:spacing w:val="28"/>
          <w:sz w:val="32"/>
          <w:szCs w:val="32"/>
          <w:highlight w:val="none"/>
        </w:rPr>
      </w:pPr>
      <w:r>
        <w:rPr>
          <w:rFonts w:hint="eastAsia" w:ascii="方正小标宋简体" w:hAnsi="方正小标宋简体" w:eastAsia="方正小标宋简体" w:cs="方正小标宋简体"/>
          <w:bCs/>
          <w:color w:val="000000"/>
          <w:spacing w:val="28"/>
          <w:sz w:val="32"/>
          <w:szCs w:val="32"/>
          <w:highlight w:val="none"/>
        </w:rPr>
        <w:t>202</w:t>
      </w:r>
      <w:r>
        <w:rPr>
          <w:rFonts w:hint="eastAsia" w:ascii="方正小标宋简体" w:hAnsi="方正小标宋简体" w:eastAsia="方正小标宋简体" w:cs="方正小标宋简体"/>
          <w:bCs/>
          <w:color w:val="000000"/>
          <w:spacing w:val="28"/>
          <w:sz w:val="32"/>
          <w:szCs w:val="32"/>
          <w:highlight w:val="none"/>
          <w:lang w:val="en-US" w:eastAsia="zh-CN"/>
        </w:rPr>
        <w:t>5</w:t>
      </w:r>
      <w:r>
        <w:rPr>
          <w:rFonts w:hint="eastAsia" w:ascii="方正小标宋简体" w:hAnsi="方正小标宋简体" w:eastAsia="方正小标宋简体" w:cs="方正小标宋简体"/>
          <w:bCs/>
          <w:color w:val="000000"/>
          <w:spacing w:val="28"/>
          <w:sz w:val="32"/>
          <w:szCs w:val="32"/>
          <w:highlight w:val="none"/>
        </w:rPr>
        <w:t>年</w:t>
      </w:r>
      <w:r>
        <w:rPr>
          <w:rFonts w:hint="eastAsia" w:ascii="方正小标宋简体" w:hAnsi="方正小标宋简体" w:eastAsia="方正小标宋简体" w:cs="方正小标宋简体"/>
          <w:bCs/>
          <w:color w:val="000000"/>
          <w:spacing w:val="28"/>
          <w:sz w:val="32"/>
          <w:szCs w:val="32"/>
          <w:highlight w:val="none"/>
          <w:lang w:val="en-US" w:eastAsia="zh-CN"/>
        </w:rPr>
        <w:t>7</w:t>
      </w:r>
      <w:r>
        <w:rPr>
          <w:rFonts w:hint="eastAsia" w:ascii="方正小标宋简体" w:hAnsi="方正小标宋简体" w:eastAsia="方正小标宋简体" w:cs="方正小标宋简体"/>
          <w:bCs/>
          <w:color w:val="000000"/>
          <w:spacing w:val="28"/>
          <w:sz w:val="32"/>
          <w:szCs w:val="32"/>
          <w:highlight w:val="none"/>
        </w:rPr>
        <w:t>月</w:t>
      </w:r>
      <w:r>
        <w:rPr>
          <w:rFonts w:hint="eastAsia" w:ascii="方正小标宋简体" w:hAnsi="方正小标宋简体" w:eastAsia="方正小标宋简体" w:cs="方正小标宋简体"/>
          <w:bCs/>
          <w:color w:val="000000"/>
          <w:spacing w:val="28"/>
          <w:sz w:val="32"/>
          <w:szCs w:val="32"/>
          <w:highlight w:val="none"/>
          <w:lang w:val="en-US" w:eastAsia="zh-CN"/>
        </w:rPr>
        <w:t>2</w:t>
      </w:r>
      <w:r>
        <w:rPr>
          <w:rFonts w:hint="eastAsia" w:ascii="方正小标宋简体" w:hAnsi="方正小标宋简体" w:eastAsia="方正小标宋简体" w:cs="方正小标宋简体"/>
          <w:bCs/>
          <w:color w:val="000000"/>
          <w:spacing w:val="28"/>
          <w:sz w:val="32"/>
          <w:szCs w:val="32"/>
          <w:highlight w:val="none"/>
        </w:rPr>
        <w:t>日</w:t>
      </w:r>
    </w:p>
    <w:p w14:paraId="27BC4EDB">
      <w:pPr>
        <w:shd w:val="clear"/>
        <w:spacing w:line="300" w:lineRule="auto"/>
        <w:rPr>
          <w:rFonts w:hint="eastAsia" w:ascii="方正小标宋简体" w:hAnsi="方正小标宋简体" w:eastAsia="方正小标宋简体" w:cs="方正小标宋简体"/>
          <w:bCs/>
          <w:color w:val="000000"/>
          <w:sz w:val="28"/>
          <w:szCs w:val="28"/>
          <w:highlight w:val="none"/>
        </w:rPr>
        <w:sectPr>
          <w:headerReference r:id="rId3" w:type="default"/>
          <w:pgSz w:w="11906" w:h="16838"/>
          <w:pgMar w:top="1440" w:right="1416" w:bottom="1440" w:left="1560" w:header="851" w:footer="992" w:gutter="0"/>
          <w:cols w:space="720" w:num="1"/>
          <w:docGrid w:type="lines" w:linePitch="312" w:charSpace="0"/>
        </w:sectPr>
      </w:pPr>
    </w:p>
    <w:sdt>
      <w:sdtPr>
        <w:rPr>
          <w:rFonts w:hint="eastAsia" w:ascii="方正小标宋简体" w:hAnsi="方正小标宋简体" w:eastAsia="方正小标宋简体" w:cs="方正小标宋简体"/>
          <w:sz w:val="36"/>
          <w:szCs w:val="36"/>
          <w:highlight w:val="none"/>
          <w:lang w:val="en-US" w:eastAsia="zh-CN" w:bidi="ar-SA"/>
        </w:rPr>
        <w:id w:val="147482229"/>
        <w:docPartObj>
          <w:docPartGallery w:val="Table of Contents"/>
          <w:docPartUnique/>
        </w:docPartObj>
      </w:sdtPr>
      <w:sdtEndPr>
        <w:rPr>
          <w:rFonts w:hint="eastAsia" w:ascii="方正小标宋简体" w:hAnsi="方正小标宋简体" w:eastAsia="方正小标宋简体" w:cs="方正小标宋简体"/>
          <w:sz w:val="20"/>
          <w:szCs w:val="20"/>
          <w:highlight w:val="none"/>
          <w:lang w:val="en-US" w:eastAsia="zh-CN" w:bidi="ar-SA"/>
        </w:rPr>
      </w:sdtEndPr>
      <w:sdtContent>
        <w:p w14:paraId="2C225C2E">
          <w:pPr>
            <w:shd w:val="clea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highlight w:val="none"/>
            </w:rPr>
          </w:pPr>
          <w:bookmarkStart w:id="0" w:name="_Toc29274_WPSOffice_Type1"/>
          <w:r>
            <w:rPr>
              <w:rFonts w:hint="eastAsia" w:ascii="方正小标宋简体" w:hAnsi="方正小标宋简体" w:eastAsia="方正小标宋简体" w:cs="方正小标宋简体"/>
              <w:sz w:val="36"/>
              <w:szCs w:val="36"/>
              <w:highlight w:val="none"/>
            </w:rPr>
            <w:t>目录</w:t>
          </w:r>
        </w:p>
        <w:p w14:paraId="01244F9F">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_Toc5950_WPSOffice_Level1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80804"/>
              <w:placeholder>
                <w:docPart w:val="{47c6498c-0552-4c59-ae9c-47d58bc557e6}"/>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第一章   招标公告</w:t>
              </w:r>
            </w:sdtContent>
          </w:sdt>
          <w:r>
            <w:rPr>
              <w:rFonts w:hint="eastAsia" w:ascii="仿宋_GB2312" w:hAnsi="仿宋_GB2312" w:eastAsia="仿宋_GB2312" w:cs="仿宋_GB2312"/>
              <w:b/>
              <w:bCs/>
              <w:sz w:val="28"/>
              <w:szCs w:val="28"/>
              <w:highlight w:val="none"/>
            </w:rPr>
            <w:tab/>
          </w:r>
          <w:bookmarkStart w:id="1" w:name="_Toc5950_WPSOffice_Level1Page"/>
          <w:r>
            <w:rPr>
              <w:rFonts w:hint="eastAsia" w:ascii="仿宋_GB2312" w:hAnsi="仿宋_GB2312" w:eastAsia="仿宋_GB2312" w:cs="仿宋_GB2312"/>
              <w:b/>
              <w:bCs/>
              <w:sz w:val="28"/>
              <w:szCs w:val="28"/>
              <w:highlight w:val="none"/>
            </w:rPr>
            <w:t>1</w:t>
          </w:r>
          <w:bookmarkEnd w:id="1"/>
          <w:r>
            <w:rPr>
              <w:rFonts w:hint="eastAsia" w:ascii="仿宋_GB2312" w:hAnsi="仿宋_GB2312" w:eastAsia="仿宋_GB2312" w:cs="仿宋_GB2312"/>
              <w:b/>
              <w:bCs/>
              <w:sz w:val="28"/>
              <w:szCs w:val="28"/>
              <w:highlight w:val="none"/>
            </w:rPr>
            <w:fldChar w:fldCharType="end"/>
          </w:r>
        </w:p>
        <w:p w14:paraId="4EF4E067">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_Toc29274_WPSOffice_Level1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0834"/>
              <w:placeholder>
                <w:docPart w:val="{b51bf0f7-022a-4559-abc0-0d1bd889bd8a}"/>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第二章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招标须知</w:t>
              </w:r>
            </w:sdtContent>
          </w:sdt>
          <w:r>
            <w:rPr>
              <w:rFonts w:hint="eastAsia" w:ascii="仿宋_GB2312" w:hAnsi="仿宋_GB2312" w:eastAsia="仿宋_GB2312" w:cs="仿宋_GB2312"/>
              <w:b/>
              <w:bCs/>
              <w:sz w:val="28"/>
              <w:szCs w:val="28"/>
              <w:highlight w:val="none"/>
            </w:rPr>
            <w:tab/>
          </w:r>
          <w:bookmarkStart w:id="2" w:name="_Toc29274_WPSOffice_Level1Page"/>
          <w:r>
            <w:rPr>
              <w:rFonts w:hint="eastAsia" w:ascii="仿宋_GB2312" w:hAnsi="仿宋_GB2312" w:eastAsia="仿宋_GB2312" w:cs="仿宋_GB2312"/>
              <w:b/>
              <w:bCs/>
              <w:sz w:val="28"/>
              <w:szCs w:val="28"/>
              <w:highlight w:val="none"/>
            </w:rPr>
            <w:t>5</w:t>
          </w:r>
          <w:bookmarkEnd w:id="2"/>
          <w:r>
            <w:rPr>
              <w:rFonts w:hint="eastAsia" w:ascii="仿宋_GB2312" w:hAnsi="仿宋_GB2312" w:eastAsia="仿宋_GB2312" w:cs="仿宋_GB2312"/>
              <w:b/>
              <w:bCs/>
              <w:sz w:val="28"/>
              <w:szCs w:val="28"/>
              <w:highlight w:val="none"/>
            </w:rPr>
            <w:fldChar w:fldCharType="end"/>
          </w:r>
        </w:p>
        <w:p w14:paraId="7174E3AA">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_Toc24184_WPSOffice_Level1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63232"/>
              <w:placeholder>
                <w:docPart w:val="{c25d4978-c5d2-477a-91bb-0b09dc94c11a}"/>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第三章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评标办法</w:t>
              </w:r>
            </w:sdtContent>
          </w:sdt>
          <w:r>
            <w:rPr>
              <w:rFonts w:hint="eastAsia" w:ascii="仿宋_GB2312" w:hAnsi="仿宋_GB2312" w:eastAsia="仿宋_GB2312" w:cs="仿宋_GB2312"/>
              <w:b/>
              <w:bCs/>
              <w:sz w:val="28"/>
              <w:szCs w:val="28"/>
              <w:highlight w:val="none"/>
            </w:rPr>
            <w:tab/>
          </w:r>
          <w:bookmarkStart w:id="3" w:name="_Toc24184_WPSOffice_Level1Page"/>
          <w:r>
            <w:rPr>
              <w:rFonts w:hint="eastAsia" w:ascii="仿宋_GB2312" w:hAnsi="仿宋_GB2312" w:eastAsia="仿宋_GB2312" w:cs="仿宋_GB2312"/>
              <w:b/>
              <w:bCs/>
              <w:sz w:val="28"/>
              <w:szCs w:val="28"/>
              <w:highlight w:val="none"/>
            </w:rPr>
            <w:t>19</w:t>
          </w:r>
          <w:bookmarkEnd w:id="3"/>
          <w:r>
            <w:rPr>
              <w:rFonts w:hint="eastAsia" w:ascii="仿宋_GB2312" w:hAnsi="仿宋_GB2312" w:eastAsia="仿宋_GB2312" w:cs="仿宋_GB2312"/>
              <w:b/>
              <w:bCs/>
              <w:sz w:val="28"/>
              <w:szCs w:val="28"/>
              <w:highlight w:val="none"/>
            </w:rPr>
            <w:fldChar w:fldCharType="end"/>
          </w:r>
        </w:p>
        <w:p w14:paraId="0FF131F3">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_Toc22717_WPSOffice_Level1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8087"/>
              <w:placeholder>
                <w:docPart w:val="{4dee9d09-12f1-4d62-ac96-cef84ef3c0db}"/>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第四章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技术要求</w:t>
              </w:r>
            </w:sdtContent>
          </w:sdt>
          <w:r>
            <w:rPr>
              <w:rFonts w:hint="eastAsia" w:ascii="仿宋_GB2312" w:hAnsi="仿宋_GB2312" w:eastAsia="仿宋_GB2312" w:cs="仿宋_GB2312"/>
              <w:b/>
              <w:bCs/>
              <w:sz w:val="28"/>
              <w:szCs w:val="28"/>
              <w:highlight w:val="none"/>
            </w:rPr>
            <w:tab/>
          </w:r>
          <w:bookmarkStart w:id="4" w:name="_Toc22717_WPSOffice_Level1Page"/>
          <w:r>
            <w:rPr>
              <w:rFonts w:hint="eastAsia" w:ascii="仿宋_GB2312" w:hAnsi="仿宋_GB2312" w:eastAsia="仿宋_GB2312" w:cs="仿宋_GB2312"/>
              <w:b/>
              <w:bCs/>
              <w:sz w:val="28"/>
              <w:szCs w:val="28"/>
              <w:highlight w:val="none"/>
            </w:rPr>
            <w:t>22</w:t>
          </w:r>
          <w:bookmarkEnd w:id="4"/>
          <w:r>
            <w:rPr>
              <w:rFonts w:hint="eastAsia" w:ascii="仿宋_GB2312" w:hAnsi="仿宋_GB2312" w:eastAsia="仿宋_GB2312" w:cs="仿宋_GB2312"/>
              <w:b/>
              <w:bCs/>
              <w:sz w:val="28"/>
              <w:szCs w:val="28"/>
              <w:highlight w:val="none"/>
            </w:rPr>
            <w:fldChar w:fldCharType="end"/>
          </w:r>
        </w:p>
        <w:p w14:paraId="6940D847">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_Toc386_WPSOffice_Level1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4382"/>
              <w:placeholder>
                <w:docPart w:val="{baa7020d-cbdc-4b80-9be8-db23af549d25}"/>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第五章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合同条款及格式</w:t>
              </w:r>
            </w:sdtContent>
          </w:sdt>
          <w:r>
            <w:rPr>
              <w:rFonts w:hint="eastAsia" w:ascii="仿宋_GB2312" w:hAnsi="仿宋_GB2312" w:eastAsia="仿宋_GB2312" w:cs="仿宋_GB2312"/>
              <w:b/>
              <w:bCs/>
              <w:sz w:val="28"/>
              <w:szCs w:val="28"/>
              <w:highlight w:val="none"/>
            </w:rPr>
            <w:tab/>
          </w:r>
          <w:bookmarkStart w:id="5" w:name="_Toc386_WPSOffice_Level1Page"/>
          <w:r>
            <w:rPr>
              <w:rFonts w:hint="eastAsia" w:ascii="仿宋_GB2312" w:hAnsi="仿宋_GB2312" w:eastAsia="仿宋_GB2312" w:cs="仿宋_GB2312"/>
              <w:b/>
              <w:bCs/>
              <w:sz w:val="28"/>
              <w:szCs w:val="28"/>
              <w:highlight w:val="none"/>
            </w:rPr>
            <w:t>24</w:t>
          </w:r>
          <w:bookmarkEnd w:id="5"/>
          <w:r>
            <w:rPr>
              <w:rFonts w:hint="eastAsia" w:ascii="仿宋_GB2312" w:hAnsi="仿宋_GB2312" w:eastAsia="仿宋_GB2312" w:cs="仿宋_GB2312"/>
              <w:b/>
              <w:bCs/>
              <w:sz w:val="28"/>
              <w:szCs w:val="28"/>
              <w:highlight w:val="none"/>
            </w:rPr>
            <w:fldChar w:fldCharType="end"/>
          </w:r>
        </w:p>
        <w:p w14:paraId="326F6179">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_Toc1571_WPSOffice_Level1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5505"/>
              <w:placeholder>
                <w:docPart w:val="{37c66cee-39be-405c-8a3b-ccee1d5988c9}"/>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 xml:space="preserve">第六章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投标文件格式及内容</w:t>
              </w:r>
            </w:sdtContent>
          </w:sdt>
          <w:r>
            <w:rPr>
              <w:rFonts w:hint="eastAsia" w:ascii="仿宋_GB2312" w:hAnsi="仿宋_GB2312" w:eastAsia="仿宋_GB2312" w:cs="仿宋_GB2312"/>
              <w:b/>
              <w:bCs/>
              <w:sz w:val="28"/>
              <w:szCs w:val="28"/>
              <w:highlight w:val="none"/>
            </w:rPr>
            <w:tab/>
          </w:r>
          <w:bookmarkStart w:id="6" w:name="_Toc1571_WPSOffice_Level1Page"/>
          <w:r>
            <w:rPr>
              <w:rFonts w:hint="eastAsia" w:ascii="仿宋_GB2312" w:hAnsi="仿宋_GB2312" w:eastAsia="仿宋_GB2312" w:cs="仿宋_GB2312"/>
              <w:b/>
              <w:bCs/>
              <w:sz w:val="28"/>
              <w:szCs w:val="28"/>
              <w:highlight w:val="none"/>
            </w:rPr>
            <w:t>31</w:t>
          </w:r>
          <w:bookmarkEnd w:id="6"/>
          <w:r>
            <w:rPr>
              <w:rFonts w:hint="eastAsia" w:ascii="仿宋_GB2312" w:hAnsi="仿宋_GB2312" w:eastAsia="仿宋_GB2312" w:cs="仿宋_GB2312"/>
              <w:b/>
              <w:bCs/>
              <w:sz w:val="28"/>
              <w:szCs w:val="28"/>
              <w:highlight w:val="none"/>
            </w:rPr>
            <w:fldChar w:fldCharType="end"/>
          </w:r>
        </w:p>
        <w:p w14:paraId="35E56275">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_Toc15065_WPSOffice_Level1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1345"/>
              <w:placeholder>
                <w:docPart w:val="{fdd5341b-5a73-400a-9400-40fd51aceecd}"/>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1、投标函</w:t>
              </w:r>
            </w:sdtContent>
          </w:sdt>
          <w:r>
            <w:rPr>
              <w:rFonts w:hint="eastAsia" w:ascii="仿宋_GB2312" w:hAnsi="仿宋_GB2312" w:eastAsia="仿宋_GB2312" w:cs="仿宋_GB2312"/>
              <w:b/>
              <w:bCs/>
              <w:sz w:val="28"/>
              <w:szCs w:val="28"/>
              <w:highlight w:val="none"/>
            </w:rPr>
            <w:tab/>
          </w:r>
          <w:bookmarkStart w:id="7" w:name="_Toc15065_WPSOffice_Level1Page"/>
          <w:r>
            <w:rPr>
              <w:rFonts w:hint="eastAsia" w:ascii="仿宋_GB2312" w:hAnsi="仿宋_GB2312" w:eastAsia="仿宋_GB2312" w:cs="仿宋_GB2312"/>
              <w:b/>
              <w:bCs/>
              <w:sz w:val="28"/>
              <w:szCs w:val="28"/>
              <w:highlight w:val="none"/>
            </w:rPr>
            <w:t>33</w:t>
          </w:r>
          <w:bookmarkEnd w:id="7"/>
          <w:r>
            <w:rPr>
              <w:rFonts w:hint="eastAsia" w:ascii="仿宋_GB2312" w:hAnsi="仿宋_GB2312" w:eastAsia="仿宋_GB2312" w:cs="仿宋_GB2312"/>
              <w:b/>
              <w:bCs/>
              <w:sz w:val="28"/>
              <w:szCs w:val="28"/>
              <w:highlight w:val="none"/>
            </w:rPr>
            <w:fldChar w:fldCharType="end"/>
          </w:r>
        </w:p>
        <w:p w14:paraId="5E42E405">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_Toc31858_WPSOffice_Level1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63365"/>
              <w:placeholder>
                <w:docPart w:val="{c8d31c09-d53b-47a6-805d-f697f880347d}"/>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2、法定代表人身份证明</w:t>
              </w:r>
            </w:sdtContent>
          </w:sdt>
          <w:r>
            <w:rPr>
              <w:rFonts w:hint="eastAsia" w:ascii="仿宋_GB2312" w:hAnsi="仿宋_GB2312" w:eastAsia="仿宋_GB2312" w:cs="仿宋_GB2312"/>
              <w:b/>
              <w:bCs/>
              <w:sz w:val="28"/>
              <w:szCs w:val="28"/>
              <w:highlight w:val="none"/>
            </w:rPr>
            <w:tab/>
          </w:r>
          <w:bookmarkStart w:id="8" w:name="_Toc31858_WPSOffice_Level1Page"/>
          <w:r>
            <w:rPr>
              <w:rFonts w:hint="eastAsia" w:ascii="仿宋_GB2312" w:hAnsi="仿宋_GB2312" w:eastAsia="仿宋_GB2312" w:cs="仿宋_GB2312"/>
              <w:b/>
              <w:bCs/>
              <w:sz w:val="28"/>
              <w:szCs w:val="28"/>
              <w:highlight w:val="none"/>
            </w:rPr>
            <w:t>34</w:t>
          </w:r>
          <w:bookmarkEnd w:id="8"/>
          <w:r>
            <w:rPr>
              <w:rFonts w:hint="eastAsia" w:ascii="仿宋_GB2312" w:hAnsi="仿宋_GB2312" w:eastAsia="仿宋_GB2312" w:cs="仿宋_GB2312"/>
              <w:b/>
              <w:bCs/>
              <w:sz w:val="28"/>
              <w:szCs w:val="28"/>
              <w:highlight w:val="none"/>
            </w:rPr>
            <w:fldChar w:fldCharType="end"/>
          </w:r>
        </w:p>
        <w:p w14:paraId="36D4593A">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4016"/>
              <w:placeholder>
                <w:docPart w:val="{ebff3c89-b4c8-46ae-97ac-e8b2495addcb}"/>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3、授权委托书</w:t>
              </w:r>
            </w:sdtContent>
          </w:sdt>
          <w:r>
            <w:rPr>
              <w:rFonts w:hint="eastAsia" w:ascii="仿宋_GB2312" w:hAnsi="仿宋_GB2312" w:eastAsia="仿宋_GB2312" w:cs="仿宋_GB2312"/>
              <w:b/>
              <w:bCs/>
              <w:sz w:val="28"/>
              <w:szCs w:val="28"/>
              <w:highlight w:val="none"/>
            </w:rPr>
            <w:tab/>
          </w:r>
          <w:bookmarkStart w:id="9" w:name="_Toc14_WPSOffice_Level1Page"/>
          <w:r>
            <w:rPr>
              <w:rFonts w:hint="eastAsia" w:ascii="仿宋_GB2312" w:hAnsi="仿宋_GB2312" w:eastAsia="仿宋_GB2312" w:cs="仿宋_GB2312"/>
              <w:b/>
              <w:bCs/>
              <w:sz w:val="28"/>
              <w:szCs w:val="28"/>
              <w:highlight w:val="none"/>
            </w:rPr>
            <w:t>35</w:t>
          </w:r>
          <w:bookmarkEnd w:id="9"/>
          <w:r>
            <w:rPr>
              <w:rFonts w:hint="eastAsia" w:ascii="仿宋_GB2312" w:hAnsi="仿宋_GB2312" w:eastAsia="仿宋_GB2312" w:cs="仿宋_GB2312"/>
              <w:b/>
              <w:bCs/>
              <w:sz w:val="28"/>
              <w:szCs w:val="28"/>
              <w:highlight w:val="none"/>
            </w:rPr>
            <w:fldChar w:fldCharType="end"/>
          </w:r>
        </w:p>
        <w:p w14:paraId="2FED914B">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_Toc20722_WPSOffice_Level1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3403"/>
              <w:placeholder>
                <w:docPart w:val="{ec6c8546-bf52-4b04-a1f8-d58ee26a9361}"/>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4、投标保证金</w:t>
              </w:r>
            </w:sdtContent>
          </w:sdt>
          <w:r>
            <w:rPr>
              <w:rFonts w:hint="eastAsia" w:ascii="仿宋_GB2312" w:hAnsi="仿宋_GB2312" w:eastAsia="仿宋_GB2312" w:cs="仿宋_GB2312"/>
              <w:b/>
              <w:bCs/>
              <w:sz w:val="28"/>
              <w:szCs w:val="28"/>
              <w:highlight w:val="none"/>
            </w:rPr>
            <w:tab/>
          </w:r>
          <w:bookmarkStart w:id="10" w:name="_Toc20722_WPSOffice_Level1Page"/>
          <w:r>
            <w:rPr>
              <w:rFonts w:hint="eastAsia" w:ascii="仿宋_GB2312" w:hAnsi="仿宋_GB2312" w:eastAsia="仿宋_GB2312" w:cs="仿宋_GB2312"/>
              <w:b/>
              <w:bCs/>
              <w:sz w:val="28"/>
              <w:szCs w:val="28"/>
              <w:highlight w:val="none"/>
            </w:rPr>
            <w:t>36</w:t>
          </w:r>
          <w:bookmarkEnd w:id="10"/>
          <w:r>
            <w:rPr>
              <w:rFonts w:hint="eastAsia" w:ascii="仿宋_GB2312" w:hAnsi="仿宋_GB2312" w:eastAsia="仿宋_GB2312" w:cs="仿宋_GB2312"/>
              <w:b/>
              <w:bCs/>
              <w:sz w:val="28"/>
              <w:szCs w:val="28"/>
              <w:highlight w:val="none"/>
            </w:rPr>
            <w:fldChar w:fldCharType="end"/>
          </w:r>
        </w:p>
        <w:p w14:paraId="1A367A13">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_Toc27730_WPSOffice_Level1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5512"/>
              <w:placeholder>
                <w:docPart w:val="{cd7df482-2d0d-47bc-9c73-7f2245ce7394}"/>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5、资格审查资料</w:t>
              </w:r>
            </w:sdtContent>
          </w:sdt>
          <w:r>
            <w:rPr>
              <w:rFonts w:hint="eastAsia" w:ascii="仿宋_GB2312" w:hAnsi="仿宋_GB2312" w:eastAsia="仿宋_GB2312" w:cs="仿宋_GB2312"/>
              <w:b/>
              <w:bCs/>
              <w:sz w:val="28"/>
              <w:szCs w:val="28"/>
              <w:highlight w:val="none"/>
            </w:rPr>
            <w:tab/>
          </w:r>
          <w:bookmarkStart w:id="11" w:name="_Toc27730_WPSOffice_Level1Page"/>
          <w:r>
            <w:rPr>
              <w:rFonts w:hint="eastAsia" w:ascii="仿宋_GB2312" w:hAnsi="仿宋_GB2312" w:eastAsia="仿宋_GB2312" w:cs="仿宋_GB2312"/>
              <w:b/>
              <w:bCs/>
              <w:sz w:val="28"/>
              <w:szCs w:val="28"/>
              <w:highlight w:val="none"/>
            </w:rPr>
            <w:t>36</w:t>
          </w:r>
          <w:bookmarkEnd w:id="11"/>
          <w:r>
            <w:rPr>
              <w:rFonts w:hint="eastAsia" w:ascii="仿宋_GB2312" w:hAnsi="仿宋_GB2312" w:eastAsia="仿宋_GB2312" w:cs="仿宋_GB2312"/>
              <w:b/>
              <w:bCs/>
              <w:sz w:val="28"/>
              <w:szCs w:val="28"/>
              <w:highlight w:val="none"/>
            </w:rPr>
            <w:fldChar w:fldCharType="end"/>
          </w:r>
        </w:p>
        <w:p w14:paraId="7140C023">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_Toc19580_WPSOffice_Level1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60201"/>
              <w:placeholder>
                <w:docPart w:val="{b985d993-bf46-4bf7-a804-6cac3911529b}"/>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6、报价表</w:t>
              </w:r>
            </w:sdtContent>
          </w:sdt>
          <w:r>
            <w:rPr>
              <w:rFonts w:hint="eastAsia" w:ascii="仿宋_GB2312" w:hAnsi="仿宋_GB2312" w:eastAsia="仿宋_GB2312" w:cs="仿宋_GB2312"/>
              <w:b/>
              <w:bCs/>
              <w:sz w:val="28"/>
              <w:szCs w:val="28"/>
              <w:highlight w:val="none"/>
            </w:rPr>
            <w:tab/>
          </w:r>
          <w:bookmarkStart w:id="12" w:name="_Toc19580_WPSOffice_Level1Page"/>
          <w:r>
            <w:rPr>
              <w:rFonts w:hint="eastAsia" w:ascii="仿宋_GB2312" w:hAnsi="仿宋_GB2312" w:eastAsia="仿宋_GB2312" w:cs="仿宋_GB2312"/>
              <w:b/>
              <w:bCs/>
              <w:sz w:val="28"/>
              <w:szCs w:val="28"/>
              <w:highlight w:val="none"/>
            </w:rPr>
            <w:t>38</w:t>
          </w:r>
          <w:bookmarkEnd w:id="12"/>
          <w:r>
            <w:rPr>
              <w:rFonts w:hint="eastAsia" w:ascii="仿宋_GB2312" w:hAnsi="仿宋_GB2312" w:eastAsia="仿宋_GB2312" w:cs="仿宋_GB2312"/>
              <w:b/>
              <w:bCs/>
              <w:sz w:val="28"/>
              <w:szCs w:val="28"/>
              <w:highlight w:val="none"/>
            </w:rPr>
            <w:fldChar w:fldCharType="end"/>
          </w:r>
        </w:p>
        <w:p w14:paraId="3D716CB6">
          <w:pPr>
            <w:pStyle w:val="202"/>
            <w:shd w:val="clear"/>
            <w:tabs>
              <w:tab w:val="right" w:leader="dot" w:pos="9000"/>
            </w:tabs>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_Toc16334_WPSOffice_Level1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59529"/>
              <w:placeholder>
                <w:docPart w:val="{ea41b6b9-b3e2-4665-ba57-84d017007248}"/>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7、商务或技术偏差表</w:t>
              </w:r>
            </w:sdtContent>
          </w:sdt>
          <w:r>
            <w:rPr>
              <w:rFonts w:hint="eastAsia" w:ascii="仿宋_GB2312" w:hAnsi="仿宋_GB2312" w:eastAsia="仿宋_GB2312" w:cs="仿宋_GB2312"/>
              <w:b/>
              <w:bCs/>
              <w:sz w:val="28"/>
              <w:szCs w:val="28"/>
              <w:highlight w:val="none"/>
            </w:rPr>
            <w:tab/>
          </w:r>
          <w:bookmarkStart w:id="13" w:name="_Toc16334_WPSOffice_Level1Page"/>
          <w:r>
            <w:rPr>
              <w:rFonts w:hint="eastAsia" w:ascii="仿宋_GB2312" w:hAnsi="仿宋_GB2312" w:eastAsia="仿宋_GB2312" w:cs="仿宋_GB2312"/>
              <w:b/>
              <w:bCs/>
              <w:sz w:val="28"/>
              <w:szCs w:val="28"/>
              <w:highlight w:val="none"/>
            </w:rPr>
            <w:t>40</w:t>
          </w:r>
          <w:bookmarkEnd w:id="13"/>
          <w:r>
            <w:rPr>
              <w:rFonts w:hint="eastAsia" w:ascii="仿宋_GB2312" w:hAnsi="仿宋_GB2312" w:eastAsia="仿宋_GB2312" w:cs="仿宋_GB2312"/>
              <w:b/>
              <w:bCs/>
              <w:sz w:val="28"/>
              <w:szCs w:val="28"/>
              <w:highlight w:val="none"/>
            </w:rPr>
            <w:fldChar w:fldCharType="end"/>
          </w:r>
        </w:p>
        <w:p w14:paraId="135107C2">
          <w:pPr>
            <w:pStyle w:val="202"/>
            <w:shd w:val="clear"/>
            <w:tabs>
              <w:tab w:val="right" w:leader="dot" w:pos="9000"/>
            </w:tabs>
            <w:rPr>
              <w:highlight w:val="none"/>
            </w:rPr>
          </w:pPr>
          <w:r>
            <w:rPr>
              <w:rFonts w:hint="eastAsia" w:ascii="仿宋_GB2312" w:hAnsi="仿宋_GB2312" w:eastAsia="仿宋_GB2312" w:cs="仿宋_GB2312"/>
              <w:b/>
              <w:bCs/>
              <w:sz w:val="28"/>
              <w:szCs w:val="28"/>
              <w:highlight w:val="none"/>
            </w:rPr>
            <w:fldChar w:fldCharType="begin"/>
          </w:r>
          <w:r>
            <w:rPr>
              <w:rFonts w:hint="eastAsia" w:ascii="仿宋_GB2312" w:hAnsi="仿宋_GB2312" w:eastAsia="仿宋_GB2312" w:cs="仿宋_GB2312"/>
              <w:b/>
              <w:bCs/>
              <w:sz w:val="28"/>
              <w:szCs w:val="28"/>
              <w:highlight w:val="none"/>
            </w:rPr>
            <w:instrText xml:space="preserve"> HYPERLINK \l _Toc27227_WPSOffice_Level1 </w:instrText>
          </w:r>
          <w:r>
            <w:rPr>
              <w:rFonts w:hint="eastAsia" w:ascii="仿宋_GB2312" w:hAnsi="仿宋_GB2312" w:eastAsia="仿宋_GB2312" w:cs="仿宋_GB2312"/>
              <w:b/>
              <w:bCs/>
              <w:sz w:val="28"/>
              <w:szCs w:val="28"/>
              <w:highlight w:val="none"/>
            </w:rPr>
            <w:fldChar w:fldCharType="separate"/>
          </w:r>
          <w:sdt>
            <w:sdtPr>
              <w:rPr>
                <w:rFonts w:hint="eastAsia" w:ascii="仿宋_GB2312" w:hAnsi="仿宋_GB2312" w:eastAsia="仿宋_GB2312" w:cs="仿宋_GB2312"/>
                <w:b/>
                <w:bCs/>
                <w:sz w:val="28"/>
                <w:szCs w:val="28"/>
                <w:highlight w:val="none"/>
                <w:lang w:val="en-US" w:eastAsia="zh-CN" w:bidi="ar-SA"/>
              </w:rPr>
              <w:id w:val="147477949"/>
              <w:placeholder>
                <w:docPart w:val="{2bb8ae50-9b2b-4e83-bd42-d0ed4c0d1e74}"/>
              </w:placeholder>
            </w:sdtPr>
            <w:sdtEndPr>
              <w:rPr>
                <w:rFonts w:hint="eastAsia" w:ascii="仿宋_GB2312" w:hAnsi="仿宋_GB2312" w:eastAsia="仿宋_GB2312" w:cs="仿宋_GB2312"/>
                <w:b/>
                <w:bCs/>
                <w:sz w:val="28"/>
                <w:szCs w:val="28"/>
                <w:highlight w:val="none"/>
                <w:lang w:val="en-US" w:eastAsia="zh-CN" w:bidi="ar-SA"/>
              </w:rPr>
            </w:sdtEndPr>
            <w:sdtContent>
              <w:r>
                <w:rPr>
                  <w:rFonts w:hint="eastAsia" w:ascii="仿宋_GB2312" w:hAnsi="仿宋_GB2312" w:eastAsia="仿宋_GB2312" w:cs="仿宋_GB2312"/>
                  <w:b/>
                  <w:bCs/>
                  <w:sz w:val="28"/>
                  <w:szCs w:val="28"/>
                  <w:highlight w:val="none"/>
                </w:rPr>
                <w:t>8、投标人认为应补充的其他资料</w:t>
              </w:r>
            </w:sdtContent>
          </w:sdt>
          <w:r>
            <w:rPr>
              <w:rFonts w:hint="eastAsia" w:ascii="仿宋_GB2312" w:hAnsi="仿宋_GB2312" w:eastAsia="仿宋_GB2312" w:cs="仿宋_GB2312"/>
              <w:b/>
              <w:bCs/>
              <w:sz w:val="28"/>
              <w:szCs w:val="28"/>
              <w:highlight w:val="none"/>
            </w:rPr>
            <w:tab/>
          </w:r>
          <w:bookmarkStart w:id="14" w:name="_Toc27227_WPSOffice_Level1Page"/>
          <w:r>
            <w:rPr>
              <w:rFonts w:hint="eastAsia" w:ascii="仿宋_GB2312" w:hAnsi="仿宋_GB2312" w:eastAsia="仿宋_GB2312" w:cs="仿宋_GB2312"/>
              <w:b/>
              <w:bCs/>
              <w:sz w:val="28"/>
              <w:szCs w:val="28"/>
              <w:highlight w:val="none"/>
            </w:rPr>
            <w:t>40</w:t>
          </w:r>
          <w:bookmarkEnd w:id="14"/>
          <w:r>
            <w:rPr>
              <w:rFonts w:hint="eastAsia" w:ascii="仿宋_GB2312" w:hAnsi="仿宋_GB2312" w:eastAsia="仿宋_GB2312" w:cs="仿宋_GB2312"/>
              <w:b/>
              <w:bCs/>
              <w:sz w:val="28"/>
              <w:szCs w:val="28"/>
              <w:highlight w:val="none"/>
            </w:rPr>
            <w:fldChar w:fldCharType="end"/>
          </w:r>
          <w:bookmarkEnd w:id="0"/>
        </w:p>
      </w:sdtContent>
    </w:sdt>
    <w:p w14:paraId="52F9E439">
      <w:pPr>
        <w:pStyle w:val="2"/>
        <w:shd w:val="clear"/>
        <w:rPr>
          <w:rFonts w:hint="eastAsia"/>
          <w:highlight w:val="none"/>
        </w:rPr>
      </w:pPr>
    </w:p>
    <w:p w14:paraId="5F188E88">
      <w:pPr>
        <w:shd w:val="clear"/>
        <w:spacing w:line="300" w:lineRule="auto"/>
        <w:jc w:val="center"/>
        <w:rPr>
          <w:rFonts w:hint="eastAsia" w:ascii="黑体" w:hAnsi="黑体" w:eastAsia="黑体"/>
          <w:b/>
          <w:color w:val="000000"/>
          <w:sz w:val="36"/>
          <w:szCs w:val="36"/>
          <w:highlight w:val="none"/>
        </w:rPr>
        <w:sectPr>
          <w:footerReference r:id="rId4" w:type="default"/>
          <w:pgSz w:w="11906" w:h="16838"/>
          <w:pgMar w:top="1440" w:right="1466" w:bottom="1440" w:left="1440" w:header="851" w:footer="992" w:gutter="0"/>
          <w:pgNumType w:fmt="decimal" w:start="1"/>
          <w:cols w:space="720" w:num="1"/>
          <w:docGrid w:type="linesAndChars" w:linePitch="312" w:charSpace="0"/>
        </w:sectPr>
      </w:pPr>
      <w:bookmarkStart w:id="15" w:name="_Toc18900_WPSOffice_Level1"/>
    </w:p>
    <w:p w14:paraId="0E164D96">
      <w:pPr>
        <w:shd w:val="clear"/>
        <w:spacing w:line="300" w:lineRule="auto"/>
        <w:jc w:val="center"/>
        <w:rPr>
          <w:rFonts w:hint="eastAsia" w:ascii="黑体" w:hAnsi="黑体" w:eastAsia="黑体"/>
          <w:b/>
          <w:color w:val="000000"/>
          <w:sz w:val="36"/>
          <w:szCs w:val="36"/>
          <w:highlight w:val="none"/>
        </w:rPr>
      </w:pPr>
      <w:bookmarkStart w:id="16" w:name="_Toc5950_WPSOffice_Level1"/>
      <w:r>
        <w:rPr>
          <w:rFonts w:hint="eastAsia" w:ascii="黑体" w:hAnsi="黑体" w:eastAsia="黑体"/>
          <w:b/>
          <w:color w:val="000000"/>
          <w:sz w:val="36"/>
          <w:szCs w:val="36"/>
          <w:highlight w:val="none"/>
        </w:rPr>
        <w:t>第一章</w:t>
      </w:r>
      <w:r>
        <w:rPr>
          <w:rFonts w:ascii="黑体" w:hAnsi="黑体" w:eastAsia="黑体"/>
          <w:b/>
          <w:color w:val="000000"/>
          <w:sz w:val="36"/>
          <w:szCs w:val="36"/>
          <w:highlight w:val="none"/>
        </w:rPr>
        <w:t xml:space="preserve"> </w:t>
      </w:r>
      <w:bookmarkStart w:id="17" w:name="_Toc446434284"/>
      <w:bookmarkEnd w:id="17"/>
      <w:r>
        <w:rPr>
          <w:rFonts w:hint="eastAsia" w:ascii="黑体" w:hAnsi="黑体" w:eastAsia="黑体"/>
          <w:b/>
          <w:color w:val="000000"/>
          <w:sz w:val="36"/>
          <w:szCs w:val="36"/>
          <w:highlight w:val="none"/>
        </w:rPr>
        <w:t xml:space="preserve">  招标公告</w:t>
      </w:r>
      <w:bookmarkEnd w:id="15"/>
      <w:bookmarkEnd w:id="16"/>
    </w:p>
    <w:p w14:paraId="2A4EEFE7">
      <w:pPr>
        <w:widowControl w:val="0"/>
        <w:shd w:val="clear"/>
        <w:spacing w:line="360" w:lineRule="auto"/>
        <w:rPr>
          <w:rFonts w:cs="Times New Roman"/>
          <w:b/>
          <w:bCs/>
          <w:kern w:val="2"/>
          <w:szCs w:val="22"/>
          <w:highlight w:val="none"/>
        </w:rPr>
      </w:pPr>
      <w:r>
        <w:rPr>
          <w:rFonts w:cs="Times New Roman"/>
          <w:b/>
          <w:bCs/>
          <w:kern w:val="2"/>
          <w:szCs w:val="22"/>
          <w:highlight w:val="none"/>
        </w:rPr>
        <w:t>一、</w:t>
      </w:r>
      <w:r>
        <w:rPr>
          <w:rFonts w:hint="eastAsia" w:cs="Times New Roman"/>
          <w:b/>
          <w:bCs/>
          <w:kern w:val="2"/>
          <w:szCs w:val="22"/>
          <w:highlight w:val="none"/>
        </w:rPr>
        <w:t>招标</w:t>
      </w:r>
      <w:r>
        <w:rPr>
          <w:rFonts w:cs="Times New Roman"/>
          <w:b/>
          <w:bCs/>
          <w:kern w:val="2"/>
          <w:szCs w:val="22"/>
          <w:highlight w:val="none"/>
        </w:rPr>
        <w:t>编号：</w:t>
      </w:r>
      <w:r>
        <w:rPr>
          <w:rFonts w:hint="eastAsia" w:cs="Times New Roman"/>
          <w:b/>
          <w:bCs/>
          <w:kern w:val="2"/>
          <w:szCs w:val="22"/>
          <w:highlight w:val="none"/>
        </w:rPr>
        <w:t>1171250626001</w:t>
      </w:r>
    </w:p>
    <w:p w14:paraId="014CAF7E">
      <w:pPr>
        <w:widowControl w:val="0"/>
        <w:shd w:val="clear"/>
        <w:spacing w:line="360" w:lineRule="auto"/>
        <w:rPr>
          <w:rFonts w:hint="eastAsia" w:eastAsia="宋体" w:cs="Times New Roman"/>
          <w:b/>
          <w:bCs/>
          <w:kern w:val="2"/>
          <w:szCs w:val="22"/>
          <w:highlight w:val="none"/>
          <w:lang w:eastAsia="zh-CN"/>
        </w:rPr>
      </w:pPr>
      <w:r>
        <w:rPr>
          <w:rFonts w:cs="Times New Roman"/>
          <w:b/>
          <w:bCs/>
          <w:kern w:val="2"/>
          <w:szCs w:val="22"/>
          <w:highlight w:val="none"/>
        </w:rPr>
        <w:t>二、</w:t>
      </w:r>
      <w:r>
        <w:rPr>
          <w:rFonts w:hint="eastAsia" w:cs="Times New Roman"/>
          <w:b/>
          <w:bCs/>
          <w:kern w:val="2"/>
          <w:szCs w:val="22"/>
          <w:highlight w:val="none"/>
        </w:rPr>
        <w:t>招标项目</w:t>
      </w:r>
      <w:r>
        <w:rPr>
          <w:rFonts w:cs="Times New Roman"/>
          <w:b/>
          <w:bCs/>
          <w:kern w:val="2"/>
          <w:szCs w:val="22"/>
          <w:highlight w:val="none"/>
        </w:rPr>
        <w:t>名称：</w:t>
      </w:r>
      <w:r>
        <w:rPr>
          <w:rFonts w:hint="eastAsia" w:cs="Times New Roman"/>
          <w:b/>
          <w:bCs/>
          <w:kern w:val="2"/>
          <w:szCs w:val="22"/>
          <w:highlight w:val="none"/>
          <w:lang w:eastAsia="zh-CN"/>
        </w:rPr>
        <w:t>2025年-2026年低压电机及水泵维修保养服务</w:t>
      </w:r>
    </w:p>
    <w:p w14:paraId="4E455309">
      <w:pPr>
        <w:widowControl w:val="0"/>
        <w:shd w:val="clear"/>
        <w:spacing w:line="360" w:lineRule="auto"/>
        <w:rPr>
          <w:rFonts w:hint="eastAsia" w:cs="Times New Roman"/>
          <w:b/>
          <w:bCs/>
          <w:kern w:val="2"/>
          <w:szCs w:val="22"/>
          <w:highlight w:val="none"/>
          <w:lang w:val="zh-CN"/>
        </w:rPr>
      </w:pPr>
      <w:r>
        <w:rPr>
          <w:rFonts w:hint="eastAsia" w:cs="Times New Roman"/>
          <w:b/>
          <w:bCs/>
          <w:kern w:val="2"/>
          <w:szCs w:val="22"/>
          <w:highlight w:val="none"/>
        </w:rPr>
        <w:t>三、</w:t>
      </w:r>
      <w:r>
        <w:rPr>
          <w:rFonts w:hint="eastAsia" w:cs="Times New Roman"/>
          <w:b/>
          <w:bCs/>
          <w:kern w:val="2"/>
          <w:szCs w:val="22"/>
          <w:highlight w:val="none"/>
          <w:lang w:val="zh-CN"/>
        </w:rPr>
        <w:t>项目概况与范围</w:t>
      </w:r>
    </w:p>
    <w:p w14:paraId="3DB9CBC2">
      <w:pPr>
        <w:shd w:val="clear"/>
        <w:spacing w:line="360" w:lineRule="auto"/>
        <w:ind w:firstLine="480" w:firstLineChars="200"/>
        <w:rPr>
          <w:rFonts w:hint="eastAsia"/>
          <w:highlight w:val="none"/>
          <w:lang w:val="zh-CN" w:eastAsia="zh-CN"/>
        </w:rPr>
      </w:pPr>
      <w:r>
        <w:rPr>
          <w:rFonts w:hint="eastAsia"/>
          <w:highlight w:val="none"/>
          <w:lang w:val="en-US" w:eastAsia="zh-CN"/>
        </w:rPr>
        <w:t>1</w:t>
      </w:r>
      <w:r>
        <w:rPr>
          <w:rFonts w:hint="eastAsia"/>
          <w:highlight w:val="none"/>
          <w:lang w:val="zh-CN" w:eastAsia="zh-CN"/>
        </w:rPr>
        <w:t>、低压电机</w:t>
      </w:r>
      <w:r>
        <w:rPr>
          <w:rFonts w:hint="eastAsia"/>
          <w:highlight w:val="none"/>
          <w:lang w:val="en-US" w:eastAsia="zh-CN"/>
        </w:rPr>
        <w:t>及水泵</w:t>
      </w:r>
      <w:r>
        <w:rPr>
          <w:rFonts w:hint="eastAsia"/>
          <w:highlight w:val="none"/>
          <w:lang w:val="zh-CN" w:eastAsia="zh-CN"/>
        </w:rPr>
        <w:t>维修保养</w:t>
      </w:r>
      <w:r>
        <w:rPr>
          <w:rFonts w:hint="eastAsia"/>
          <w:highlight w:val="none"/>
          <w:lang w:val="en-US" w:eastAsia="zh-CN"/>
        </w:rPr>
        <w:t>内容：</w:t>
      </w:r>
    </w:p>
    <w:tbl>
      <w:tblPr>
        <w:tblStyle w:val="46"/>
        <w:tblW w:w="85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2"/>
        <w:gridCol w:w="1038"/>
        <w:gridCol w:w="3823"/>
        <w:gridCol w:w="1320"/>
        <w:gridCol w:w="1035"/>
      </w:tblGrid>
      <w:tr w14:paraId="2AA5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CCC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种类</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E04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76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维修保养项目名称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0A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cs="宋体"/>
                <w:i w:val="0"/>
                <w:iCs w:val="0"/>
                <w:color w:val="000000"/>
                <w:kern w:val="0"/>
                <w:sz w:val="21"/>
                <w:szCs w:val="21"/>
                <w:highlight w:val="none"/>
                <w:u w:val="none"/>
                <w:lang w:val="en-US" w:eastAsia="zh-CN" w:bidi="ar"/>
              </w:rPr>
              <w:t>预估</w:t>
            </w:r>
            <w:r>
              <w:rPr>
                <w:rFonts w:hint="eastAsia" w:ascii="宋体" w:hAnsi="宋体" w:eastAsia="宋体" w:cs="宋体"/>
                <w:i w:val="0"/>
                <w:iCs w:val="0"/>
                <w:color w:val="000000"/>
                <w:kern w:val="0"/>
                <w:sz w:val="21"/>
                <w:szCs w:val="21"/>
                <w:highlight w:val="none"/>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3F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r>
      <w:tr w14:paraId="5CD5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A6EF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1.5kW及以下电机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2F5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5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77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474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911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84C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9E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7A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更换轴承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FD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040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盘</w:t>
            </w:r>
          </w:p>
        </w:tc>
      </w:tr>
      <w:tr w14:paraId="62D2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B6FF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E6C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868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EB6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80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处</w:t>
            </w:r>
          </w:p>
        </w:tc>
      </w:tr>
      <w:tr w14:paraId="0A34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47B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684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74E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626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914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2044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E4D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41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208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B75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7A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F2A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436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82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05B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B4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A07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4F90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253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940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50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B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1C9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39B3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8B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31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02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5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C5B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1C9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8F18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1.5kW以上低压电机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DF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007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C7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CF7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0A1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BA05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9E2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13E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w:t>
            </w:r>
            <w:r>
              <w:rPr>
                <w:rFonts w:hint="eastAsia" w:cs="宋体"/>
                <w:i w:val="0"/>
                <w:iCs w:val="0"/>
                <w:color w:val="000000"/>
                <w:kern w:val="0"/>
                <w:sz w:val="21"/>
                <w:szCs w:val="21"/>
                <w:highlight w:val="none"/>
                <w:u w:val="none"/>
                <w:lang w:val="en-US" w:eastAsia="zh-CN" w:bidi="ar"/>
              </w:rPr>
              <w:t>单个</w:t>
            </w:r>
            <w:r>
              <w:rPr>
                <w:rFonts w:hint="eastAsia" w:ascii="宋体" w:hAnsi="宋体" w:eastAsia="宋体" w:cs="宋体"/>
                <w:i w:val="0"/>
                <w:iCs w:val="0"/>
                <w:color w:val="000000"/>
                <w:kern w:val="0"/>
                <w:sz w:val="21"/>
                <w:szCs w:val="21"/>
                <w:highlight w:val="none"/>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A97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002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66B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323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623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4C9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7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BE3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1F4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E63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A68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C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3D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BE0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2455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DE0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FD5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00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272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2B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328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00F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4C1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FC3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BA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13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6DC9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26E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773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EA6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57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C9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B39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1AF1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0D2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C3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2C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37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86B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5868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变频电机用冷却风机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0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6D2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G-80变频电机冷却风机维修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5F7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DB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7A74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54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735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290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G-90变频电机冷却风机维修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C1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497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2CBE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3FF5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4AA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789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G-100变频电机冷却风机维修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09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504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469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BEA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900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FC4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G-112变频电机冷却风机维修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09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846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49C3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7C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F01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39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G-132变频电机冷却风机维修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FF8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A7F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B98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103C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E9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908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G-160变频电机冷却风机维修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C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45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CB6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017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C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22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G-180变频电机冷却风机维修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EF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9CE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4E7F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402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A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C5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G-200变频电机冷却风机维修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D9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975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6769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FD5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32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D4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G-225变频电机冷却风机维修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67D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AD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2BC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844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CF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B8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G-250变频电机冷却风机维修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E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168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5D9A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6F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51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08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G-280变频电机冷却风机维修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729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3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05FE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exac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EA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D2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3A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G-315变频电机冷却风机维修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E19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9B2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14:paraId="1331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1185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振动电机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F1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F4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F3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B3C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9FE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D10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6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42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6C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F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3809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417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94D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F7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78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01F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0D7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408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D6D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354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5ED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1F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085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C8EB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8A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D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更换接线端子和外引线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3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D1D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972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EB4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5E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83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防护罩修复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620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AB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014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639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F3D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91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修补振动块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09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D36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591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ACA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普通潜水泵（单叶轮）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D8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4F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AE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BB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3884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CC5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A17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32D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8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AD3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64F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A99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D8A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0A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轴承端盖修复（单侧）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4C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D2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6E85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BA5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224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5E3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309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759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F60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45F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6F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D04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修复外引线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777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80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F16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A4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B4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EAD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49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396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2710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42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AE4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E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更换叶轮防护罩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03B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5B4259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A34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8A40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B5C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1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757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7A3D1B8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6CC3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0FC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多级泵</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95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685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93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4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72D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AC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F19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43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195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59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DD6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36E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B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8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更换橡胶轴承及附件（单个）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878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CD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86A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9CB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2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51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更换推力轴承及附件（单个）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EAC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72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518C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D29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81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A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更换石墨轴承及附件（单个）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EB1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105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4C83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B09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6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1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更换叶轮及导叶（单个）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43A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8C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1AF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991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6E4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CF3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维修泵轴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464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08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78F3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ED8F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B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F1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更换直推阀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9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6B8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0E94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6F24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68E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4E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更换进/出水节</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43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CF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18E2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927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0E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532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更换外引线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211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CD8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r w14:paraId="3F57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3D8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3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3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5EF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更换泵头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A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9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r>
    </w:tbl>
    <w:p w14:paraId="462A77A7">
      <w:pPr>
        <w:shd w:val="clear"/>
        <w:spacing w:line="360" w:lineRule="auto"/>
        <w:ind w:firstLine="480" w:firstLineChars="200"/>
        <w:rPr>
          <w:rFonts w:hint="eastAsia"/>
          <w:b w:val="0"/>
          <w:bCs w:val="0"/>
          <w:highlight w:val="none"/>
          <w:lang w:val="zh-CN"/>
        </w:rPr>
      </w:pPr>
      <w:r>
        <w:rPr>
          <w:rFonts w:hint="eastAsia"/>
          <w:b w:val="0"/>
          <w:bCs w:val="0"/>
          <w:highlight w:val="none"/>
          <w:lang w:val="en-US" w:eastAsia="zh-CN"/>
        </w:rPr>
        <w:t>2</w:t>
      </w:r>
      <w:r>
        <w:rPr>
          <w:rFonts w:hint="eastAsia"/>
          <w:b w:val="0"/>
          <w:bCs w:val="0"/>
          <w:highlight w:val="none"/>
          <w:lang w:val="zh-CN"/>
        </w:rPr>
        <w:t>、</w:t>
      </w:r>
      <w:r>
        <w:rPr>
          <w:rFonts w:hint="eastAsia"/>
          <w:b w:val="0"/>
          <w:bCs w:val="0"/>
          <w:highlight w:val="none"/>
          <w:lang w:val="en-US" w:eastAsia="zh-CN"/>
        </w:rPr>
        <w:t>工作量为</w:t>
      </w:r>
      <w:r>
        <w:rPr>
          <w:rFonts w:hint="eastAsia"/>
          <w:b w:val="0"/>
          <w:bCs w:val="0"/>
          <w:highlight w:val="none"/>
          <w:lang w:val="zh-CN"/>
        </w:rPr>
        <w:t>预估工程量，</w:t>
      </w:r>
      <w:r>
        <w:rPr>
          <w:rFonts w:hint="eastAsia"/>
          <w:b w:val="0"/>
          <w:bCs w:val="0"/>
          <w:highlight w:val="none"/>
          <w:lang w:val="en-US" w:eastAsia="zh-CN"/>
        </w:rPr>
        <w:t>仅为方便评标确定单价使用</w:t>
      </w:r>
      <w:r>
        <w:rPr>
          <w:rFonts w:hint="eastAsia"/>
          <w:b w:val="0"/>
          <w:bCs w:val="0"/>
          <w:highlight w:val="none"/>
          <w:lang w:val="zh-CN"/>
        </w:rPr>
        <w:t>，</w:t>
      </w:r>
      <w:r>
        <w:rPr>
          <w:rFonts w:hint="eastAsia"/>
          <w:b w:val="0"/>
          <w:bCs w:val="0"/>
          <w:highlight w:val="none"/>
          <w:lang w:val="en-US" w:eastAsia="zh-CN"/>
        </w:rPr>
        <w:t>签订合同后</w:t>
      </w:r>
      <w:r>
        <w:rPr>
          <w:rFonts w:hint="eastAsia"/>
          <w:b w:val="0"/>
          <w:bCs w:val="0"/>
          <w:highlight w:val="none"/>
          <w:lang w:val="zh-CN"/>
        </w:rPr>
        <w:t>根据工作需要，按照实际工程量</w:t>
      </w:r>
      <w:r>
        <w:rPr>
          <w:rFonts w:hint="eastAsia"/>
          <w:b w:val="0"/>
          <w:bCs w:val="0"/>
          <w:highlight w:val="none"/>
          <w:lang w:val="en-US" w:eastAsia="zh-CN"/>
        </w:rPr>
        <w:t>和单价</w:t>
      </w:r>
      <w:r>
        <w:rPr>
          <w:rFonts w:hint="eastAsia"/>
          <w:b w:val="0"/>
          <w:bCs w:val="0"/>
          <w:highlight w:val="none"/>
          <w:lang w:val="zh-CN"/>
        </w:rPr>
        <w:t>结算。</w:t>
      </w:r>
    </w:p>
    <w:p w14:paraId="347FAE20">
      <w:pPr>
        <w:shd w:val="clear"/>
        <w:spacing w:line="360" w:lineRule="auto"/>
        <w:ind w:firstLine="480" w:firstLineChars="200"/>
        <w:rPr>
          <w:rFonts w:hint="eastAsia"/>
          <w:highlight w:val="none"/>
          <w:lang w:val="zh-CN"/>
        </w:rPr>
      </w:pPr>
      <w:r>
        <w:rPr>
          <w:rFonts w:hint="eastAsia"/>
          <w:highlight w:val="none"/>
          <w:lang w:val="en-US" w:eastAsia="zh-CN"/>
        </w:rPr>
        <w:t>3</w:t>
      </w:r>
      <w:r>
        <w:rPr>
          <w:rFonts w:hint="eastAsia"/>
          <w:highlight w:val="none"/>
          <w:lang w:val="zh-CN"/>
        </w:rPr>
        <w:t>、轴承、润滑脂及其它材料、往返运输、维修保养、试验等费用由</w:t>
      </w:r>
      <w:r>
        <w:rPr>
          <w:rFonts w:hint="eastAsia"/>
          <w:highlight w:val="none"/>
          <w:lang w:val="en-US" w:eastAsia="zh-CN"/>
        </w:rPr>
        <w:t>投标人</w:t>
      </w:r>
      <w:r>
        <w:rPr>
          <w:rFonts w:hint="eastAsia"/>
          <w:highlight w:val="none"/>
          <w:lang w:val="zh-CN"/>
        </w:rPr>
        <w:t>负责；生产现场电机拆线、电机拆除、起吊、安装找正、接线等工作由</w:t>
      </w:r>
      <w:r>
        <w:rPr>
          <w:rFonts w:hint="eastAsia"/>
          <w:highlight w:val="none"/>
          <w:lang w:val="en-US" w:eastAsia="zh-CN"/>
        </w:rPr>
        <w:t>招标人</w:t>
      </w:r>
      <w:r>
        <w:rPr>
          <w:rFonts w:hint="eastAsia"/>
          <w:highlight w:val="none"/>
          <w:lang w:val="zh-CN"/>
        </w:rPr>
        <w:t>负责。</w:t>
      </w:r>
    </w:p>
    <w:p w14:paraId="74A6A41F">
      <w:pPr>
        <w:shd w:val="clear"/>
        <w:spacing w:line="360" w:lineRule="auto"/>
        <w:ind w:firstLine="480" w:firstLineChars="200"/>
        <w:rPr>
          <w:rFonts w:hint="eastAsia"/>
          <w:highlight w:val="none"/>
          <w:lang w:val="zh-CN"/>
        </w:rPr>
      </w:pPr>
      <w:r>
        <w:rPr>
          <w:rFonts w:hint="eastAsia"/>
          <w:highlight w:val="none"/>
          <w:lang w:val="en-US" w:eastAsia="zh-CN"/>
        </w:rPr>
        <w:t>4</w:t>
      </w:r>
      <w:r>
        <w:rPr>
          <w:rFonts w:hint="eastAsia"/>
          <w:highlight w:val="none"/>
          <w:lang w:val="zh-CN"/>
        </w:rPr>
        <w:t>、</w:t>
      </w:r>
      <w:r>
        <w:rPr>
          <w:rFonts w:hint="eastAsia"/>
          <w:highlight w:val="none"/>
          <w:lang w:val="en-US" w:eastAsia="zh-CN"/>
        </w:rPr>
        <w:t>维修后开具</w:t>
      </w:r>
      <w:r>
        <w:rPr>
          <w:rFonts w:hint="eastAsia"/>
          <w:highlight w:val="none"/>
          <w:lang w:val="zh-CN"/>
        </w:rPr>
        <w:t>增值税</w:t>
      </w:r>
      <w:r>
        <w:rPr>
          <w:rFonts w:hint="eastAsia"/>
          <w:highlight w:val="none"/>
          <w:lang w:val="en-US" w:eastAsia="zh-CN"/>
        </w:rPr>
        <w:t>专用发票</w:t>
      </w:r>
      <w:r>
        <w:rPr>
          <w:rFonts w:hint="eastAsia"/>
          <w:highlight w:val="none"/>
          <w:lang w:val="zh-CN"/>
        </w:rPr>
        <w:t>，</w:t>
      </w:r>
      <w:r>
        <w:rPr>
          <w:rFonts w:hint="eastAsia"/>
          <w:highlight w:val="yellow"/>
          <w:lang w:val="en-US" w:eastAsia="zh-CN"/>
        </w:rPr>
        <w:t>银行承兑结算</w:t>
      </w:r>
      <w:r>
        <w:rPr>
          <w:rFonts w:hint="eastAsia"/>
          <w:highlight w:val="none"/>
          <w:lang w:val="en-US" w:eastAsia="zh-CN"/>
        </w:rPr>
        <w:t>，</w:t>
      </w:r>
      <w:r>
        <w:rPr>
          <w:rFonts w:hint="eastAsia"/>
          <w:highlight w:val="none"/>
          <w:lang w:val="zh-CN"/>
        </w:rPr>
        <w:t>每季度结算一次，合同有效期内结算上限为</w:t>
      </w:r>
      <w:r>
        <w:rPr>
          <w:rFonts w:hint="eastAsia"/>
          <w:highlight w:val="none"/>
          <w:lang w:val="en-US" w:eastAsia="zh-CN"/>
        </w:rPr>
        <w:t>合同</w:t>
      </w:r>
      <w:r>
        <w:rPr>
          <w:rFonts w:hint="eastAsia"/>
          <w:highlight w:val="none"/>
          <w:lang w:val="zh-CN"/>
        </w:rPr>
        <w:t>价，合同到期或结算额达到结算上限后合同终止。</w:t>
      </w:r>
    </w:p>
    <w:p w14:paraId="4FF41E75">
      <w:pPr>
        <w:shd w:val="clear"/>
        <w:spacing w:line="360" w:lineRule="auto"/>
        <w:ind w:firstLine="480" w:firstLineChars="200"/>
        <w:rPr>
          <w:rFonts w:hint="eastAsia"/>
          <w:highlight w:val="none"/>
          <w:lang w:val="zh-CN"/>
        </w:rPr>
      </w:pPr>
      <w:r>
        <w:rPr>
          <w:rFonts w:hint="eastAsia"/>
          <w:highlight w:val="none"/>
          <w:lang w:val="zh-CN"/>
        </w:rPr>
        <w:t>5、承包方式：包工包料</w:t>
      </w:r>
    </w:p>
    <w:p w14:paraId="0B864A3E">
      <w:pPr>
        <w:shd w:val="clear"/>
        <w:spacing w:line="360" w:lineRule="auto"/>
        <w:ind w:firstLine="480" w:firstLineChars="200"/>
        <w:rPr>
          <w:rFonts w:hint="eastAsia"/>
          <w:highlight w:val="none"/>
          <w:lang w:val="zh-CN"/>
        </w:rPr>
      </w:pPr>
      <w:r>
        <w:rPr>
          <w:rFonts w:hint="eastAsia"/>
          <w:highlight w:val="none"/>
          <w:lang w:val="zh-CN"/>
        </w:rPr>
        <w:t>6、质量要求：</w:t>
      </w:r>
      <w:r>
        <w:rPr>
          <w:rFonts w:hint="eastAsia"/>
          <w:highlight w:val="none"/>
          <w:lang w:val="en-US" w:eastAsia="zh-CN"/>
        </w:rPr>
        <w:t>在约定时间内上门取件、修复并送回；</w:t>
      </w:r>
      <w:r>
        <w:rPr>
          <w:rFonts w:hint="eastAsia"/>
          <w:highlight w:val="none"/>
          <w:lang w:val="zh-CN"/>
        </w:rPr>
        <w:t>符合国家、行业相关质量验收标准（需要提供试验报告）；质量缺陷修复期：22kW及以上电机为九个月，22kW以下电机为六个月，维修保养后防护等级不低于原防护等级；轴承选用斯凯孚品牌轴承。</w:t>
      </w:r>
    </w:p>
    <w:p w14:paraId="740FBB6F">
      <w:pPr>
        <w:shd w:val="clear"/>
        <w:spacing w:line="360" w:lineRule="auto"/>
        <w:ind w:firstLine="480" w:firstLineChars="200"/>
        <w:rPr>
          <w:rFonts w:hint="eastAsia"/>
          <w:highlight w:val="none"/>
          <w:lang w:val="zh-CN"/>
        </w:rPr>
      </w:pPr>
      <w:r>
        <w:rPr>
          <w:rFonts w:hint="eastAsia"/>
          <w:highlight w:val="none"/>
          <w:lang w:val="zh-CN"/>
        </w:rPr>
        <w:t>7、电机保养方式为拉回中标单位保养，保养范围为：55KW及以下无加油孔电机；</w:t>
      </w:r>
      <w:r>
        <w:rPr>
          <w:rFonts w:hint="eastAsia"/>
          <w:highlight w:val="none"/>
          <w:lang w:val="en-US" w:eastAsia="zh-CN"/>
        </w:rPr>
        <w:t>维修和保养费用不重复计算，只记维修费</w:t>
      </w:r>
      <w:r>
        <w:rPr>
          <w:rFonts w:hint="eastAsia"/>
          <w:highlight w:val="none"/>
          <w:lang w:val="zh-CN"/>
        </w:rPr>
        <w:t>。</w:t>
      </w:r>
    </w:p>
    <w:p w14:paraId="6EDB6630">
      <w:pPr>
        <w:shd w:val="clear"/>
        <w:spacing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en-US" w:eastAsia="zh-CN"/>
        </w:rPr>
        <w:t>8、最高限价（万元）：2</w:t>
      </w:r>
      <w:r>
        <w:rPr>
          <w:rFonts w:hint="eastAsia" w:cs="宋体"/>
          <w:highlight w:val="none"/>
          <w:lang w:val="en-US" w:eastAsia="zh-CN"/>
        </w:rPr>
        <w:t>5800</w:t>
      </w:r>
      <w:r>
        <w:rPr>
          <w:rFonts w:hint="eastAsia" w:ascii="宋体" w:hAnsi="宋体" w:eastAsia="宋体" w:cs="宋体"/>
          <w:highlight w:val="none"/>
          <w:lang w:val="en-US" w:eastAsia="zh-CN"/>
        </w:rPr>
        <w:t>0元（</w:t>
      </w:r>
      <w:r>
        <w:rPr>
          <w:rFonts w:hint="eastAsia" w:cs="宋体"/>
          <w:highlight w:val="none"/>
          <w:lang w:val="en-US" w:eastAsia="zh-CN"/>
        </w:rPr>
        <w:t>投标</w:t>
      </w:r>
      <w:r>
        <w:rPr>
          <w:rFonts w:hint="eastAsia" w:ascii="宋体" w:hAnsi="宋体" w:eastAsia="宋体" w:cs="宋体"/>
          <w:highlight w:val="none"/>
          <w:lang w:val="en-US" w:eastAsia="zh-CN"/>
        </w:rPr>
        <w:t>人投标报价超过最高限价的按无效投标处理）</w:t>
      </w:r>
    </w:p>
    <w:p w14:paraId="489744B4">
      <w:pPr>
        <w:pStyle w:val="2"/>
        <w:shd w:val="clear"/>
        <w:spacing w:after="0" w:line="360" w:lineRule="auto"/>
        <w:ind w:left="0" w:leftChars="0" w:firstLine="0" w:firstLineChars="0"/>
        <w:jc w:val="left"/>
        <w:rPr>
          <w:b/>
          <w:bCs/>
          <w:kern w:val="2"/>
          <w:szCs w:val="22"/>
          <w:highlight w:val="none"/>
        </w:rPr>
      </w:pPr>
      <w:r>
        <w:rPr>
          <w:b/>
          <w:bCs/>
          <w:kern w:val="2"/>
          <w:szCs w:val="22"/>
          <w:highlight w:val="none"/>
        </w:rPr>
        <w:t>四、</w:t>
      </w:r>
      <w:r>
        <w:rPr>
          <w:rFonts w:hint="eastAsia"/>
          <w:b/>
          <w:bCs/>
          <w:kern w:val="2"/>
          <w:szCs w:val="22"/>
          <w:highlight w:val="none"/>
        </w:rPr>
        <w:t>投标人</w:t>
      </w:r>
      <w:r>
        <w:rPr>
          <w:b/>
          <w:bCs/>
          <w:kern w:val="2"/>
          <w:szCs w:val="22"/>
          <w:highlight w:val="none"/>
        </w:rPr>
        <w:t>资格要求</w:t>
      </w:r>
    </w:p>
    <w:p w14:paraId="64BC16E3">
      <w:pPr>
        <w:shd w:val="clear"/>
        <w:spacing w:line="360" w:lineRule="auto"/>
        <w:ind w:firstLine="480" w:firstLineChars="200"/>
        <w:rPr>
          <w:rFonts w:hint="eastAsia"/>
          <w:highlight w:val="none"/>
          <w:lang w:val="zh-CN"/>
        </w:rPr>
      </w:pPr>
      <w:r>
        <w:rPr>
          <w:rFonts w:hint="eastAsia"/>
          <w:highlight w:val="none"/>
          <w:lang w:val="zh-CN"/>
        </w:rPr>
        <w:t>1、企业资质：注册资金100万及以上、依法成立，具有法人资格和一般纳税人资格，经营范围包含低压电机维修项目，具有履行合同必需的设备</w:t>
      </w:r>
      <w:r>
        <w:rPr>
          <w:rFonts w:hint="eastAsia" w:ascii="宋体" w:hAnsi="宋体" w:eastAsia="宋体" w:cs="宋体"/>
          <w:highlight w:val="none"/>
          <w:lang w:val="zh-CN"/>
        </w:rPr>
        <w:t>（VPI浸漆罐、烘箱等）、专业技术能力、质量管理体系；</w:t>
      </w:r>
    </w:p>
    <w:p w14:paraId="37EB36FB">
      <w:pPr>
        <w:shd w:val="clear"/>
        <w:spacing w:line="360" w:lineRule="auto"/>
        <w:ind w:firstLine="480" w:firstLineChars="200"/>
        <w:rPr>
          <w:rFonts w:hint="eastAsia"/>
          <w:highlight w:val="none"/>
          <w:lang w:val="zh-CN"/>
        </w:rPr>
      </w:pPr>
      <w:r>
        <w:rPr>
          <w:rFonts w:hint="eastAsia"/>
          <w:highlight w:val="none"/>
          <w:lang w:val="zh-CN"/>
        </w:rPr>
        <w:t>2、</w:t>
      </w:r>
      <w:r>
        <w:rPr>
          <w:rFonts w:hint="eastAsia" w:ascii="宋体" w:hAnsi="宋体" w:eastAsia="宋体"/>
          <w:sz w:val="24"/>
          <w:lang w:val="en-US" w:eastAsia="zh-CN"/>
        </w:rPr>
        <w:t>具有良好的企业信誉和健全的财务会计制度，提供财务</w:t>
      </w:r>
      <w:r>
        <w:rPr>
          <w:rFonts w:hint="eastAsia" w:eastAsia="宋体"/>
          <w:sz w:val="24"/>
          <w:lang w:val="en-US" w:eastAsia="zh-CN"/>
        </w:rPr>
        <w:t>报表或者财务</w:t>
      </w:r>
      <w:r>
        <w:rPr>
          <w:rFonts w:hint="eastAsia" w:ascii="宋体" w:hAnsi="宋体" w:eastAsia="宋体"/>
          <w:sz w:val="24"/>
          <w:lang w:val="en-US" w:eastAsia="zh-CN"/>
        </w:rPr>
        <w:t>审计报告</w:t>
      </w:r>
      <w:r>
        <w:rPr>
          <w:rFonts w:hint="eastAsia" w:eastAsia="宋体"/>
          <w:sz w:val="24"/>
          <w:lang w:val="en-US" w:eastAsia="zh-CN"/>
        </w:rPr>
        <w:t>（</w:t>
      </w:r>
      <w:r>
        <w:rPr>
          <w:rFonts w:hint="eastAsia" w:ascii="宋体" w:hAnsi="宋体" w:eastAsia="宋体"/>
          <w:sz w:val="24"/>
          <w:lang w:val="en-US" w:eastAsia="zh-CN"/>
        </w:rPr>
        <w:t>可以通过扫描防伪二维码在注册会计师行业统一监管平台查询(http://acc.mof.gov.cn)）</w:t>
      </w:r>
      <w:r>
        <w:rPr>
          <w:rFonts w:hint="eastAsia"/>
          <w:highlight w:val="none"/>
          <w:lang w:val="zh-CN"/>
        </w:rPr>
        <w:t>；</w:t>
      </w:r>
    </w:p>
    <w:p w14:paraId="43736FC1">
      <w:pPr>
        <w:shd w:val="clear"/>
        <w:spacing w:line="360" w:lineRule="auto"/>
        <w:ind w:firstLine="480" w:firstLineChars="200"/>
        <w:rPr>
          <w:rFonts w:hint="eastAsia"/>
          <w:highlight w:val="none"/>
          <w:lang w:val="zh-CN"/>
        </w:rPr>
      </w:pPr>
      <w:r>
        <w:rPr>
          <w:rFonts w:hint="eastAsia"/>
          <w:highlight w:val="none"/>
          <w:lang w:val="zh-CN"/>
        </w:rPr>
        <w:t>3、有依法缴纳税收和社会保障金的良好纪录；</w:t>
      </w:r>
    </w:p>
    <w:p w14:paraId="2FBC05B3">
      <w:pPr>
        <w:shd w:val="clear"/>
        <w:spacing w:line="360" w:lineRule="auto"/>
        <w:ind w:firstLine="480" w:firstLineChars="200"/>
        <w:rPr>
          <w:rFonts w:hint="eastAsia"/>
          <w:highlight w:val="none"/>
          <w:lang w:val="zh-CN"/>
        </w:rPr>
      </w:pPr>
      <w:r>
        <w:rPr>
          <w:rFonts w:hint="eastAsia"/>
          <w:highlight w:val="none"/>
          <w:lang w:val="en-US" w:eastAsia="zh-CN"/>
        </w:rPr>
        <w:t>4</w:t>
      </w:r>
      <w:r>
        <w:rPr>
          <w:rFonts w:hint="eastAsia"/>
          <w:highlight w:val="none"/>
          <w:lang w:val="zh-CN"/>
        </w:rPr>
        <w:t>、</w:t>
      </w:r>
      <w:r>
        <w:rPr>
          <w:rFonts w:hint="eastAsia" w:ascii="宋体" w:hAnsi="宋体" w:eastAsia="宋体"/>
          <w:sz w:val="24"/>
          <w:lang w:val="en-US" w:eastAsia="zh-CN"/>
        </w:rPr>
        <w:t>在济钢集团内经营活动中没有违法记录；</w:t>
      </w:r>
    </w:p>
    <w:p w14:paraId="5401F638">
      <w:pPr>
        <w:shd w:val="clear"/>
        <w:spacing w:line="360" w:lineRule="auto"/>
        <w:ind w:firstLine="480" w:firstLineChars="200"/>
        <w:rPr>
          <w:rFonts w:hint="eastAsia"/>
          <w:highlight w:val="none"/>
          <w:lang w:val="en-US" w:eastAsia="zh-CN"/>
        </w:rPr>
      </w:pPr>
      <w:r>
        <w:rPr>
          <w:rFonts w:hint="eastAsia"/>
          <w:highlight w:val="none"/>
          <w:lang w:val="en-US" w:eastAsia="zh-CN"/>
        </w:rPr>
        <w:t>5、</w:t>
      </w:r>
      <w:r>
        <w:rPr>
          <w:rFonts w:hint="eastAsia" w:ascii="宋体" w:hAnsi="宋体" w:eastAsia="宋体"/>
          <w:sz w:val="24"/>
          <w:lang w:val="en-US" w:eastAsia="zh-CN"/>
        </w:rPr>
        <w:t>在本次谈判前三年（2021-2023年）内，应无下列不良记录：被行业主管部门通报整改的单位、被责令停业的、被暂停或取消投标资格的、财产被接管或冻结的、在经营活动中有重大违法违规行为；</w:t>
      </w:r>
    </w:p>
    <w:p w14:paraId="69FB9025">
      <w:pPr>
        <w:shd w:val="clear"/>
        <w:spacing w:line="360" w:lineRule="auto"/>
        <w:ind w:firstLine="480" w:firstLineChars="200"/>
        <w:rPr>
          <w:rFonts w:hint="eastAsia"/>
          <w:highlight w:val="none"/>
          <w:lang w:val="zh-CN"/>
        </w:rPr>
      </w:pPr>
      <w:r>
        <w:rPr>
          <w:rFonts w:hint="eastAsia"/>
          <w:highlight w:val="none"/>
          <w:lang w:val="en-US" w:eastAsia="zh-CN"/>
        </w:rPr>
        <w:t>6、</w:t>
      </w:r>
      <w:r>
        <w:rPr>
          <w:rFonts w:hint="eastAsia"/>
          <w:highlight w:val="none"/>
          <w:lang w:val="zh-CN"/>
        </w:rPr>
        <w:t>投标人须遵守中华人民共和国有关法律、法规，无重大违法违约行为。“通过“信用中国”网站（www.creditchina.gov.cn）、中国政府采购网（www.ccgp.gov.cn）查询，未被列入失信被执行人、重大税收违法案件当事人、政府采购严重违法失信行为记录名单。”查询截屏记录。</w:t>
      </w:r>
    </w:p>
    <w:p w14:paraId="09D97F96">
      <w:pPr>
        <w:shd w:val="clear"/>
        <w:spacing w:line="360" w:lineRule="auto"/>
        <w:ind w:firstLine="480" w:firstLineChars="200"/>
        <w:rPr>
          <w:rFonts w:hint="eastAsia"/>
          <w:highlight w:val="none"/>
          <w:lang w:val="zh-CN"/>
        </w:rPr>
      </w:pPr>
      <w:r>
        <w:rPr>
          <w:rFonts w:hint="eastAsia"/>
          <w:highlight w:val="none"/>
          <w:lang w:val="en-US" w:eastAsia="zh-CN"/>
        </w:rPr>
        <w:t>7</w:t>
      </w:r>
      <w:r>
        <w:rPr>
          <w:rFonts w:hint="eastAsia"/>
          <w:highlight w:val="none"/>
          <w:lang w:val="zh-CN"/>
        </w:rPr>
        <w:t>、如有单位资料造假，一经发现，立即在网上公示，并永久取消投标资格。</w:t>
      </w:r>
    </w:p>
    <w:p w14:paraId="36111F17">
      <w:pPr>
        <w:shd w:val="clear"/>
        <w:spacing w:line="360" w:lineRule="auto"/>
        <w:rPr>
          <w:rFonts w:hint="eastAsia"/>
          <w:b/>
          <w:bCs/>
          <w:highlight w:val="none"/>
        </w:rPr>
      </w:pPr>
      <w:r>
        <w:rPr>
          <w:rFonts w:hint="eastAsia" w:cs="Times New Roman"/>
          <w:b/>
          <w:bCs/>
          <w:kern w:val="2"/>
          <w:szCs w:val="22"/>
          <w:highlight w:val="none"/>
        </w:rPr>
        <w:t>五、</w:t>
      </w:r>
      <w:r>
        <w:rPr>
          <w:rFonts w:hint="eastAsia"/>
          <w:b/>
          <w:bCs/>
          <w:highlight w:val="none"/>
        </w:rPr>
        <w:t>公告和报名</w:t>
      </w:r>
    </w:p>
    <w:p w14:paraId="67F4A9BF">
      <w:pPr>
        <w:shd w:val="clear"/>
        <w:spacing w:line="360" w:lineRule="auto"/>
        <w:ind w:firstLine="480" w:firstLineChars="200"/>
        <w:rPr>
          <w:rFonts w:hint="eastAsia"/>
          <w:highlight w:val="none"/>
        </w:rPr>
      </w:pPr>
      <w:r>
        <w:rPr>
          <w:rFonts w:hint="eastAsia"/>
          <w:highlight w:val="none"/>
        </w:rPr>
        <w:t>1、报名方式：通过登录济钢集团有限公司阳光购销平台网上报名(</w:t>
      </w:r>
      <w:r>
        <w:rPr>
          <w:rFonts w:hint="eastAsia"/>
          <w:highlight w:val="none"/>
          <w:lang w:val="zh-CN"/>
        </w:rPr>
        <w:t>不接受线下报名</w:t>
      </w:r>
      <w:r>
        <w:rPr>
          <w:rFonts w:hint="eastAsia"/>
          <w:highlight w:val="none"/>
        </w:rPr>
        <w:t>)，平台网址：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xml:space="preserve">/； </w:t>
      </w:r>
    </w:p>
    <w:p w14:paraId="441F9C55">
      <w:pPr>
        <w:shd w:val="clear"/>
        <w:spacing w:line="360" w:lineRule="auto"/>
        <w:ind w:firstLine="480" w:firstLineChars="200"/>
        <w:rPr>
          <w:rFonts w:hint="eastAsia"/>
          <w:highlight w:val="none"/>
        </w:rPr>
      </w:pPr>
      <w:r>
        <w:rPr>
          <w:rFonts w:hint="eastAsia"/>
          <w:highlight w:val="none"/>
        </w:rPr>
        <w:t>2、公告和报名时间：20</w:t>
      </w:r>
      <w:r>
        <w:rPr>
          <w:rFonts w:hint="eastAsia"/>
          <w:highlight w:val="none"/>
          <w:lang w:val="en-US" w:eastAsia="zh-CN"/>
        </w:rPr>
        <w:t>25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w:t>
      </w:r>
      <w:r>
        <w:rPr>
          <w:rFonts w:hint="eastAsia"/>
          <w:highlight w:val="none"/>
        </w:rPr>
        <w:t>日～202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日（北京时间）。</w:t>
      </w:r>
    </w:p>
    <w:p w14:paraId="2141F08E">
      <w:pPr>
        <w:widowControl w:val="0"/>
        <w:shd w:val="clear"/>
        <w:spacing w:line="360" w:lineRule="auto"/>
        <w:rPr>
          <w:rFonts w:cs="Times New Roman"/>
          <w:b/>
          <w:bCs/>
          <w:kern w:val="2"/>
          <w:szCs w:val="22"/>
          <w:highlight w:val="none"/>
        </w:rPr>
      </w:pPr>
      <w:r>
        <w:rPr>
          <w:rFonts w:hint="eastAsia" w:cs="Times New Roman"/>
          <w:b/>
          <w:bCs/>
          <w:kern w:val="2"/>
          <w:szCs w:val="22"/>
          <w:highlight w:val="none"/>
        </w:rPr>
        <w:t>六</w:t>
      </w:r>
      <w:r>
        <w:rPr>
          <w:rFonts w:cs="Times New Roman"/>
          <w:b/>
          <w:bCs/>
          <w:kern w:val="2"/>
          <w:szCs w:val="22"/>
          <w:highlight w:val="none"/>
        </w:rPr>
        <w:t>、</w:t>
      </w:r>
      <w:r>
        <w:rPr>
          <w:rFonts w:hint="eastAsia" w:cs="Times New Roman"/>
          <w:b/>
          <w:bCs/>
          <w:kern w:val="2"/>
          <w:szCs w:val="22"/>
          <w:highlight w:val="none"/>
        </w:rPr>
        <w:t>开标时间和方式</w:t>
      </w:r>
    </w:p>
    <w:p w14:paraId="3D6E2A8C">
      <w:pPr>
        <w:widowControl w:val="0"/>
        <w:shd w:val="clear"/>
        <w:spacing w:line="360" w:lineRule="auto"/>
        <w:ind w:firstLine="480" w:firstLineChars="200"/>
        <w:rPr>
          <w:rFonts w:cs="Times New Roman"/>
          <w:kern w:val="2"/>
          <w:szCs w:val="22"/>
          <w:highlight w:val="none"/>
        </w:rPr>
      </w:pPr>
      <w:r>
        <w:rPr>
          <w:rFonts w:cs="Times New Roman"/>
          <w:kern w:val="2"/>
          <w:szCs w:val="22"/>
          <w:highlight w:val="none"/>
        </w:rPr>
        <w:t>1、</w:t>
      </w:r>
      <w:r>
        <w:rPr>
          <w:rFonts w:hint="eastAsia" w:cs="Times New Roman"/>
          <w:kern w:val="2"/>
          <w:szCs w:val="22"/>
          <w:highlight w:val="none"/>
        </w:rPr>
        <w:t>开标</w:t>
      </w:r>
      <w:r>
        <w:rPr>
          <w:rFonts w:cs="Times New Roman"/>
          <w:kern w:val="2"/>
          <w:szCs w:val="22"/>
          <w:highlight w:val="none"/>
        </w:rPr>
        <w:t>时间：</w:t>
      </w:r>
      <w:r>
        <w:rPr>
          <w:rFonts w:hint="eastAsia" w:cs="Times New Roman"/>
          <w:kern w:val="2"/>
          <w:szCs w:val="22"/>
          <w:highlight w:val="none"/>
        </w:rPr>
        <w:t>202</w:t>
      </w:r>
      <w:r>
        <w:rPr>
          <w:rFonts w:hint="eastAsia" w:cs="Times New Roman"/>
          <w:kern w:val="2"/>
          <w:szCs w:val="22"/>
          <w:highlight w:val="none"/>
          <w:lang w:val="en-US" w:eastAsia="zh-CN"/>
        </w:rPr>
        <w:t>5</w:t>
      </w:r>
      <w:r>
        <w:rPr>
          <w:rFonts w:hint="eastAsia" w:cs="Times New Roman"/>
          <w:kern w:val="2"/>
          <w:szCs w:val="22"/>
          <w:highlight w:val="none"/>
        </w:rPr>
        <w:t>年</w:t>
      </w:r>
      <w:r>
        <w:rPr>
          <w:rFonts w:hint="eastAsia" w:cs="Times New Roman"/>
          <w:kern w:val="2"/>
          <w:szCs w:val="22"/>
          <w:highlight w:val="none"/>
          <w:lang w:val="en-US" w:eastAsia="zh-CN"/>
        </w:rPr>
        <w:t>7</w:t>
      </w:r>
      <w:r>
        <w:rPr>
          <w:rFonts w:hint="eastAsia" w:cs="Times New Roman"/>
          <w:kern w:val="2"/>
          <w:szCs w:val="22"/>
          <w:highlight w:val="none"/>
        </w:rPr>
        <w:t>月</w:t>
      </w:r>
      <w:r>
        <w:rPr>
          <w:rFonts w:hint="eastAsia" w:cs="Times New Roman"/>
          <w:kern w:val="2"/>
          <w:szCs w:val="22"/>
          <w:highlight w:val="none"/>
          <w:lang w:val="en-US" w:eastAsia="zh-CN"/>
        </w:rPr>
        <w:t>11</w:t>
      </w:r>
      <w:r>
        <w:rPr>
          <w:rFonts w:hint="eastAsia" w:cs="Times New Roman"/>
          <w:kern w:val="2"/>
          <w:szCs w:val="22"/>
          <w:highlight w:val="none"/>
        </w:rPr>
        <w:t>日上午9点</w:t>
      </w:r>
      <w:r>
        <w:rPr>
          <w:rFonts w:cs="Times New Roman"/>
          <w:kern w:val="2"/>
          <w:szCs w:val="22"/>
          <w:highlight w:val="none"/>
        </w:rPr>
        <w:t>；</w:t>
      </w:r>
    </w:p>
    <w:p w14:paraId="72C0E16D">
      <w:pPr>
        <w:widowControl w:val="0"/>
        <w:shd w:val="clear"/>
        <w:spacing w:line="360" w:lineRule="auto"/>
        <w:ind w:firstLine="480" w:firstLineChars="200"/>
        <w:rPr>
          <w:rFonts w:hint="eastAsia"/>
          <w:highlight w:val="none"/>
        </w:rPr>
      </w:pPr>
      <w:r>
        <w:rPr>
          <w:rFonts w:cs="Times New Roman"/>
          <w:kern w:val="2"/>
          <w:szCs w:val="22"/>
          <w:highlight w:val="none"/>
        </w:rPr>
        <w:t>2、</w:t>
      </w:r>
      <w:r>
        <w:rPr>
          <w:rFonts w:hint="eastAsia"/>
          <w:highlight w:val="none"/>
        </w:rPr>
        <w:t>开标方式：</w:t>
      </w:r>
      <w:r>
        <w:rPr>
          <w:rFonts w:hint="eastAsia"/>
          <w:highlight w:val="none"/>
          <w:lang w:val="en-US" w:eastAsia="zh-CN"/>
        </w:rPr>
        <w:t>网上</w:t>
      </w:r>
      <w:r>
        <w:rPr>
          <w:rFonts w:hint="eastAsia"/>
          <w:highlight w:val="none"/>
        </w:rPr>
        <w:t>开标。</w:t>
      </w:r>
    </w:p>
    <w:p w14:paraId="07958A73">
      <w:pPr>
        <w:shd w:val="clear"/>
        <w:spacing w:line="360" w:lineRule="auto"/>
        <w:rPr>
          <w:rFonts w:hint="eastAsia" w:cs="Times New Roman"/>
          <w:b/>
          <w:bCs/>
          <w:kern w:val="2"/>
          <w:szCs w:val="22"/>
          <w:highlight w:val="none"/>
        </w:rPr>
      </w:pPr>
      <w:r>
        <w:rPr>
          <w:rFonts w:hint="eastAsia" w:cs="Times New Roman"/>
          <w:b/>
          <w:bCs/>
          <w:kern w:val="2"/>
          <w:szCs w:val="22"/>
          <w:highlight w:val="none"/>
        </w:rPr>
        <w:t>七</w:t>
      </w:r>
      <w:r>
        <w:rPr>
          <w:rFonts w:cs="Times New Roman"/>
          <w:b/>
          <w:bCs/>
          <w:kern w:val="2"/>
          <w:szCs w:val="22"/>
          <w:highlight w:val="none"/>
        </w:rPr>
        <w:t>、</w:t>
      </w:r>
      <w:r>
        <w:rPr>
          <w:rFonts w:hint="eastAsia" w:cs="Times New Roman"/>
          <w:b/>
          <w:bCs/>
          <w:kern w:val="2"/>
          <w:szCs w:val="22"/>
          <w:highlight w:val="none"/>
        </w:rPr>
        <w:t>投标</w:t>
      </w:r>
      <w:r>
        <w:rPr>
          <w:rFonts w:cs="Times New Roman"/>
          <w:b/>
          <w:bCs/>
          <w:kern w:val="2"/>
          <w:szCs w:val="22"/>
          <w:highlight w:val="none"/>
        </w:rPr>
        <w:t>保证金：</w:t>
      </w:r>
      <w:r>
        <w:rPr>
          <w:rFonts w:hint="eastAsia" w:cs="Times New Roman"/>
          <w:b/>
          <w:bCs/>
          <w:kern w:val="2"/>
          <w:szCs w:val="22"/>
          <w:highlight w:val="none"/>
          <w:lang w:val="en-US" w:eastAsia="zh-CN"/>
        </w:rPr>
        <w:t>无</w:t>
      </w:r>
    </w:p>
    <w:p w14:paraId="4FF616AD">
      <w:pPr>
        <w:shd w:val="clear"/>
        <w:spacing w:line="360" w:lineRule="auto"/>
        <w:rPr>
          <w:rFonts w:hint="eastAsia"/>
          <w:b/>
          <w:bCs/>
          <w:highlight w:val="none"/>
        </w:rPr>
      </w:pPr>
      <w:r>
        <w:rPr>
          <w:rFonts w:hint="eastAsia"/>
          <w:b/>
          <w:bCs/>
          <w:highlight w:val="none"/>
        </w:rPr>
        <w:t>八、招标文件的获取方式</w:t>
      </w:r>
    </w:p>
    <w:p w14:paraId="78156DF6">
      <w:pPr>
        <w:shd w:val="clear"/>
        <w:spacing w:line="360" w:lineRule="auto"/>
        <w:ind w:firstLine="480" w:firstLineChars="200"/>
        <w:rPr>
          <w:rFonts w:hint="eastAsia"/>
          <w:highlight w:val="none"/>
          <w:lang w:eastAsia="zh-CN"/>
        </w:rPr>
      </w:pPr>
      <w:r>
        <w:rPr>
          <w:rFonts w:hint="eastAsia"/>
          <w:highlight w:val="none"/>
        </w:rPr>
        <w:t>凡有意参加本次招标的投标人，在公告期内登陆：济钢集团有限公司阳光购销平台</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，注册用户成功后，须修改初始密码，重新登录后报名，报名成功后即可下载招标文件</w:t>
      </w:r>
      <w:r>
        <w:rPr>
          <w:rFonts w:hint="eastAsia"/>
          <w:highlight w:val="none"/>
          <w:lang w:eastAsia="zh-CN"/>
        </w:rPr>
        <w:t>。</w:t>
      </w:r>
    </w:p>
    <w:p w14:paraId="3D723B22">
      <w:pPr>
        <w:widowControl/>
        <w:shd w:val="clear"/>
        <w:autoSpaceDE w:val="0"/>
        <w:autoSpaceDN w:val="0"/>
        <w:adjustRightInd w:val="0"/>
        <w:spacing w:line="360" w:lineRule="exact"/>
        <w:jc w:val="left"/>
        <w:rPr>
          <w:rFonts w:ascii="仿宋" w:hAnsi="仿宋" w:eastAsia="仿宋" w:cs="Arial Unicode MS"/>
          <w:kern w:val="0"/>
          <w:sz w:val="24"/>
          <w:szCs w:val="24"/>
          <w:highlight w:val="none"/>
          <w:lang w:val="zh-CN"/>
        </w:rPr>
      </w:pPr>
      <w:r>
        <w:rPr>
          <w:rFonts w:hint="eastAsia"/>
          <w:b/>
          <w:bCs/>
          <w:highlight w:val="none"/>
          <w:lang w:val="en-US" w:eastAsia="zh-CN"/>
        </w:rPr>
        <w:t>九、</w:t>
      </w:r>
      <w:r>
        <w:rPr>
          <w:rFonts w:hint="eastAsia"/>
          <w:b/>
          <w:bCs/>
          <w:highlight w:val="none"/>
          <w:lang w:val="zh-CN"/>
        </w:rPr>
        <w:t>投标文件的递交</w:t>
      </w:r>
    </w:p>
    <w:p w14:paraId="7ED41A0F">
      <w:pPr>
        <w:shd w:val="clear"/>
        <w:spacing w:line="360" w:lineRule="auto"/>
        <w:ind w:firstLine="480" w:firstLineChars="200"/>
        <w:rPr>
          <w:highlight w:val="none"/>
        </w:rPr>
      </w:pPr>
      <w:r>
        <w:rPr>
          <w:rFonts w:hint="eastAsia"/>
          <w:highlight w:val="none"/>
          <w:lang w:val="zh-CN"/>
        </w:rPr>
        <w:t>网上递交（上传）</w:t>
      </w:r>
      <w:r>
        <w:rPr>
          <w:rFonts w:hint="eastAsia"/>
          <w:highlight w:val="none"/>
          <w:lang w:val="en-US" w:eastAsia="zh-CN"/>
        </w:rPr>
        <w:t>谈判</w:t>
      </w:r>
      <w:r>
        <w:rPr>
          <w:rFonts w:hint="eastAsia"/>
          <w:highlight w:val="none"/>
          <w:lang w:val="zh-CN"/>
        </w:rPr>
        <w:t>文件，递交的截止时间（投标截止时间）为</w:t>
      </w:r>
      <w:r>
        <w:rPr>
          <w:rFonts w:hint="eastAsia" w:cs="Times New Roman"/>
          <w:kern w:val="2"/>
          <w:szCs w:val="22"/>
          <w:highlight w:val="none"/>
        </w:rPr>
        <w:t>202</w:t>
      </w:r>
      <w:r>
        <w:rPr>
          <w:rFonts w:hint="eastAsia" w:cs="Times New Roman"/>
          <w:kern w:val="2"/>
          <w:szCs w:val="22"/>
          <w:highlight w:val="none"/>
          <w:lang w:val="en-US" w:eastAsia="zh-CN"/>
        </w:rPr>
        <w:t>5</w:t>
      </w:r>
      <w:r>
        <w:rPr>
          <w:rFonts w:hint="eastAsia" w:cs="Times New Roman"/>
          <w:kern w:val="2"/>
          <w:szCs w:val="22"/>
          <w:highlight w:val="none"/>
        </w:rPr>
        <w:t>年</w:t>
      </w:r>
      <w:r>
        <w:rPr>
          <w:rFonts w:hint="eastAsia" w:cs="Times New Roman"/>
          <w:kern w:val="2"/>
          <w:szCs w:val="22"/>
          <w:highlight w:val="none"/>
          <w:lang w:val="en-US" w:eastAsia="zh-CN"/>
        </w:rPr>
        <w:t>7</w:t>
      </w:r>
      <w:r>
        <w:rPr>
          <w:rFonts w:hint="eastAsia" w:cs="Times New Roman"/>
          <w:kern w:val="2"/>
          <w:szCs w:val="22"/>
          <w:highlight w:val="none"/>
        </w:rPr>
        <w:t>月</w:t>
      </w:r>
      <w:r>
        <w:rPr>
          <w:rFonts w:hint="eastAsia" w:cs="Times New Roman"/>
          <w:kern w:val="2"/>
          <w:szCs w:val="22"/>
          <w:highlight w:val="none"/>
          <w:lang w:val="en-US" w:eastAsia="zh-CN"/>
        </w:rPr>
        <w:t>8</w:t>
      </w:r>
      <w:r>
        <w:rPr>
          <w:rFonts w:hint="eastAsia" w:cs="Times New Roman"/>
          <w:kern w:val="2"/>
          <w:szCs w:val="22"/>
          <w:highlight w:val="none"/>
        </w:rPr>
        <w:t>日上午9点</w:t>
      </w:r>
      <w:r>
        <w:rPr>
          <w:rFonts w:hint="eastAsia"/>
          <w:highlight w:val="none"/>
          <w:lang w:val="zh-CN"/>
        </w:rPr>
        <w:t>，逾期递交的为无效投标；</w:t>
      </w:r>
      <w:r>
        <w:rPr>
          <w:rFonts w:hint="eastAsia"/>
          <w:highlight w:val="none"/>
          <w:lang w:val="en-US" w:eastAsia="zh-CN"/>
        </w:rPr>
        <w:t>投标文件不到开标时间无法打开请投标单位放心上传</w:t>
      </w:r>
      <w:r>
        <w:rPr>
          <w:rFonts w:hint="eastAsia"/>
          <w:highlight w:val="none"/>
          <w:lang w:val="zh-CN"/>
        </w:rPr>
        <w:t>。</w:t>
      </w:r>
    </w:p>
    <w:p w14:paraId="4C59CA5F">
      <w:pPr>
        <w:shd w:val="clear"/>
        <w:spacing w:line="360" w:lineRule="auto"/>
        <w:rPr>
          <w:rFonts w:hint="eastAsia"/>
          <w:b/>
          <w:bCs/>
          <w:highlight w:val="none"/>
        </w:rPr>
      </w:pPr>
      <w:r>
        <w:rPr>
          <w:rFonts w:hint="eastAsia"/>
          <w:b/>
          <w:bCs/>
          <w:highlight w:val="none"/>
          <w:lang w:val="en-US" w:eastAsia="zh-CN"/>
        </w:rPr>
        <w:t>十</w:t>
      </w:r>
      <w:r>
        <w:rPr>
          <w:rFonts w:hint="eastAsia"/>
          <w:b/>
          <w:bCs/>
          <w:highlight w:val="none"/>
        </w:rPr>
        <w:t>、资格审查</w:t>
      </w:r>
    </w:p>
    <w:p w14:paraId="03B992A2">
      <w:pPr>
        <w:shd w:val="clear"/>
        <w:spacing w:line="360" w:lineRule="auto"/>
        <w:ind w:firstLine="480" w:firstLineChars="200"/>
        <w:rPr>
          <w:rFonts w:hint="eastAsia"/>
          <w:highlight w:val="none"/>
        </w:rPr>
      </w:pPr>
      <w:r>
        <w:rPr>
          <w:rFonts w:hint="eastAsia"/>
          <w:highlight w:val="none"/>
        </w:rPr>
        <w:t>资格后审，不接受联合体。</w:t>
      </w:r>
    </w:p>
    <w:p w14:paraId="6E402A64">
      <w:pPr>
        <w:shd w:val="clear"/>
        <w:spacing w:line="360" w:lineRule="auto"/>
        <w:rPr>
          <w:rFonts w:hint="eastAsia"/>
          <w:b/>
          <w:bCs/>
          <w:highlight w:val="none"/>
        </w:rPr>
      </w:pPr>
      <w:r>
        <w:rPr>
          <w:rFonts w:hint="eastAsia"/>
          <w:b/>
          <w:bCs/>
          <w:highlight w:val="none"/>
        </w:rPr>
        <w:t>十</w:t>
      </w:r>
      <w:r>
        <w:rPr>
          <w:rFonts w:hint="eastAsia"/>
          <w:b/>
          <w:bCs/>
          <w:highlight w:val="none"/>
          <w:lang w:val="en-US" w:eastAsia="zh-CN"/>
        </w:rPr>
        <w:t>一</w:t>
      </w:r>
      <w:r>
        <w:rPr>
          <w:rFonts w:hint="eastAsia"/>
          <w:b/>
          <w:bCs/>
          <w:highlight w:val="none"/>
        </w:rPr>
        <w:t>、招标人的名称、地址和联系人</w:t>
      </w:r>
    </w:p>
    <w:p w14:paraId="441C0B4F">
      <w:pPr>
        <w:widowControl w:val="0"/>
        <w:shd w:val="clear"/>
        <w:spacing w:line="360" w:lineRule="auto"/>
        <w:ind w:firstLine="480" w:firstLineChars="200"/>
        <w:rPr>
          <w:rFonts w:cs="Times New Roman"/>
          <w:kern w:val="2"/>
          <w:szCs w:val="22"/>
          <w:highlight w:val="none"/>
        </w:rPr>
      </w:pPr>
      <w:r>
        <w:rPr>
          <w:rFonts w:hint="eastAsia"/>
          <w:highlight w:val="none"/>
        </w:rPr>
        <w:t>1、招标人的名称：</w:t>
      </w:r>
      <w:r>
        <w:rPr>
          <w:rFonts w:hint="eastAsia" w:cs="Times New Roman"/>
          <w:kern w:val="2"/>
          <w:szCs w:val="22"/>
          <w:highlight w:val="none"/>
        </w:rPr>
        <w:t>山东济钢</w:t>
      </w:r>
      <w:r>
        <w:rPr>
          <w:rFonts w:cs="Times New Roman"/>
          <w:kern w:val="2"/>
          <w:szCs w:val="22"/>
          <w:highlight w:val="none"/>
        </w:rPr>
        <w:t>环保新材料有限公司</w:t>
      </w:r>
    </w:p>
    <w:p w14:paraId="641A8976">
      <w:pPr>
        <w:pStyle w:val="2"/>
        <w:shd w:val="clear"/>
        <w:spacing w:after="0" w:line="360" w:lineRule="auto"/>
        <w:ind w:left="0" w:leftChars="0" w:firstLine="480"/>
        <w:rPr>
          <w:highlight w:val="none"/>
        </w:rPr>
      </w:pPr>
      <w:r>
        <w:rPr>
          <w:rFonts w:hint="eastAsia"/>
          <w:highlight w:val="none"/>
        </w:rPr>
        <w:t>2、招标人的地址：山东省济南市章丘区官庄街道青野村东</w:t>
      </w:r>
    </w:p>
    <w:p w14:paraId="0F8E36F7">
      <w:pPr>
        <w:shd w:val="clear"/>
        <w:spacing w:line="360" w:lineRule="auto"/>
        <w:ind w:firstLine="480" w:firstLineChars="200"/>
        <w:rPr>
          <w:highlight w:val="none"/>
        </w:rPr>
      </w:pPr>
      <w:r>
        <w:rPr>
          <w:rFonts w:hint="eastAsia"/>
          <w:highlight w:val="none"/>
        </w:rPr>
        <w:t>3</w:t>
      </w:r>
      <w:r>
        <w:rPr>
          <w:highlight w:val="none"/>
        </w:rPr>
        <w:t>、</w:t>
      </w:r>
      <w:r>
        <w:rPr>
          <w:rFonts w:hint="eastAsia"/>
          <w:highlight w:val="none"/>
        </w:rPr>
        <w:t>招标</w:t>
      </w:r>
      <w:r>
        <w:rPr>
          <w:rFonts w:hint="eastAsia"/>
          <w:highlight w:val="none"/>
          <w:lang w:val="en-US" w:eastAsia="zh-CN"/>
        </w:rPr>
        <w:t>咨询</w:t>
      </w:r>
      <w:r>
        <w:rPr>
          <w:highlight w:val="none"/>
        </w:rPr>
        <w:t>人：</w:t>
      </w:r>
      <w:r>
        <w:rPr>
          <w:rFonts w:hint="eastAsia"/>
          <w:highlight w:val="none"/>
        </w:rPr>
        <w:t>史</w:t>
      </w:r>
      <w:r>
        <w:rPr>
          <w:rFonts w:hint="eastAsia"/>
          <w:highlight w:val="none"/>
          <w:lang w:val="en-US" w:eastAsia="zh-CN"/>
        </w:rPr>
        <w:t>女士</w:t>
      </w:r>
      <w:r>
        <w:rPr>
          <w:highlight w:val="none"/>
        </w:rPr>
        <w:t>，联系电话：18615514537；</w:t>
      </w:r>
    </w:p>
    <w:p w14:paraId="7CB798B2">
      <w:pPr>
        <w:widowControl w:val="0"/>
        <w:shd w:val="clear"/>
        <w:spacing w:line="360" w:lineRule="auto"/>
        <w:ind w:firstLine="480" w:firstLineChars="200"/>
        <w:rPr>
          <w:rFonts w:hint="eastAsia"/>
          <w:highlight w:val="none"/>
        </w:rPr>
      </w:pPr>
      <w:r>
        <w:rPr>
          <w:rFonts w:hint="eastAsia"/>
          <w:highlight w:val="none"/>
        </w:rPr>
        <w:t>4</w:t>
      </w:r>
      <w:r>
        <w:rPr>
          <w:highlight w:val="none"/>
        </w:rPr>
        <w:t>、</w:t>
      </w:r>
      <w:r>
        <w:rPr>
          <w:rFonts w:hint="eastAsia"/>
          <w:highlight w:val="none"/>
        </w:rPr>
        <w:t>业务联系人：杜先生，联系电话：15098841870</w:t>
      </w:r>
    </w:p>
    <w:p w14:paraId="73D2C749">
      <w:pPr>
        <w:widowControl w:val="0"/>
        <w:shd w:val="clear"/>
        <w:spacing w:line="360" w:lineRule="auto"/>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侯先生，联系电话：15066666837</w:t>
      </w:r>
    </w:p>
    <w:p w14:paraId="662DE555">
      <w:pPr>
        <w:widowControl w:val="0"/>
        <w:shd w:val="clear"/>
        <w:spacing w:line="360" w:lineRule="auto"/>
        <w:rPr>
          <w:rFonts w:cs="Times New Roman"/>
          <w:b/>
          <w:bCs/>
          <w:kern w:val="2"/>
          <w:szCs w:val="22"/>
          <w:highlight w:val="none"/>
        </w:rPr>
      </w:pPr>
      <w:r>
        <w:rPr>
          <w:rFonts w:hint="eastAsia" w:cs="Times New Roman"/>
          <w:b/>
          <w:bCs/>
          <w:kern w:val="2"/>
          <w:szCs w:val="22"/>
          <w:highlight w:val="none"/>
        </w:rPr>
        <w:t>十</w:t>
      </w:r>
      <w:r>
        <w:rPr>
          <w:rFonts w:hint="eastAsia" w:cs="Times New Roman"/>
          <w:b/>
          <w:bCs/>
          <w:kern w:val="2"/>
          <w:szCs w:val="22"/>
          <w:highlight w:val="none"/>
          <w:lang w:val="en-US" w:eastAsia="zh-CN"/>
        </w:rPr>
        <w:t>二</w:t>
      </w:r>
      <w:r>
        <w:rPr>
          <w:rFonts w:cs="Times New Roman"/>
          <w:b/>
          <w:bCs/>
          <w:kern w:val="2"/>
          <w:szCs w:val="22"/>
          <w:highlight w:val="none"/>
        </w:rPr>
        <w:t>、</w:t>
      </w:r>
      <w:r>
        <w:rPr>
          <w:rFonts w:hint="eastAsia" w:cs="Times New Roman"/>
          <w:b/>
          <w:bCs/>
          <w:kern w:val="2"/>
          <w:szCs w:val="22"/>
          <w:highlight w:val="none"/>
        </w:rPr>
        <w:t>安全要求</w:t>
      </w:r>
    </w:p>
    <w:p w14:paraId="4C76F6D0">
      <w:pPr>
        <w:widowControl w:val="0"/>
        <w:shd w:val="clear"/>
        <w:spacing w:line="360" w:lineRule="auto"/>
        <w:ind w:firstLine="480" w:firstLineChars="200"/>
        <w:rPr>
          <w:rFonts w:hint="eastAsia" w:cs="Times New Roman"/>
          <w:kern w:val="2"/>
          <w:szCs w:val="22"/>
          <w:highlight w:val="none"/>
        </w:rPr>
      </w:pPr>
      <w:r>
        <w:rPr>
          <w:rFonts w:hint="eastAsia" w:cs="Times New Roman"/>
          <w:kern w:val="2"/>
          <w:szCs w:val="22"/>
          <w:highlight w:val="none"/>
        </w:rPr>
        <w:t>需要</w:t>
      </w:r>
      <w:r>
        <w:rPr>
          <w:rFonts w:cs="Times New Roman"/>
          <w:kern w:val="2"/>
          <w:szCs w:val="22"/>
          <w:highlight w:val="none"/>
        </w:rPr>
        <w:t>现场</w:t>
      </w:r>
      <w:r>
        <w:rPr>
          <w:rFonts w:hint="eastAsia" w:cs="Times New Roman"/>
          <w:kern w:val="2"/>
          <w:szCs w:val="22"/>
          <w:highlight w:val="none"/>
        </w:rPr>
        <w:t>踏勘时，</w:t>
      </w:r>
      <w:r>
        <w:rPr>
          <w:rFonts w:cs="Times New Roman"/>
          <w:kern w:val="2"/>
          <w:szCs w:val="22"/>
          <w:highlight w:val="none"/>
        </w:rPr>
        <w:t>必须遵守安全管理规定，服从现场</w:t>
      </w:r>
      <w:r>
        <w:rPr>
          <w:rFonts w:hint="eastAsia" w:cs="Times New Roman"/>
          <w:kern w:val="2"/>
          <w:szCs w:val="22"/>
          <w:highlight w:val="none"/>
        </w:rPr>
        <w:t>人员</w:t>
      </w:r>
      <w:r>
        <w:rPr>
          <w:rFonts w:cs="Times New Roman"/>
          <w:kern w:val="2"/>
          <w:szCs w:val="22"/>
          <w:highlight w:val="none"/>
        </w:rPr>
        <w:t>指挥</w:t>
      </w:r>
      <w:r>
        <w:rPr>
          <w:rFonts w:hint="eastAsia" w:cs="Times New Roman"/>
          <w:kern w:val="2"/>
          <w:szCs w:val="22"/>
          <w:highlight w:val="none"/>
        </w:rPr>
        <w:t>。参加投标的</w:t>
      </w:r>
      <w:r>
        <w:rPr>
          <w:rFonts w:cs="Times New Roman"/>
          <w:kern w:val="2"/>
          <w:szCs w:val="22"/>
          <w:highlight w:val="none"/>
        </w:rPr>
        <w:t>人员在济钢集团有限公司的一切活动，必须遵守济钢集团有限公司的安全规定。</w:t>
      </w:r>
    </w:p>
    <w:p w14:paraId="6700BCB3">
      <w:pPr>
        <w:pStyle w:val="2"/>
        <w:shd w:val="clear"/>
        <w:ind w:left="0" w:leftChars="0" w:firstLine="0" w:firstLineChars="0"/>
        <w:rPr>
          <w:b/>
          <w:bCs/>
          <w:highlight w:val="none"/>
        </w:rPr>
      </w:pPr>
      <w:r>
        <w:rPr>
          <w:rFonts w:hint="eastAsia" w:ascii="宋体" w:hAnsi="宋体"/>
          <w:b/>
          <w:bCs/>
          <w:color w:val="000000"/>
          <w:highlight w:val="none"/>
        </w:rPr>
        <w:t>十</w:t>
      </w:r>
      <w:r>
        <w:rPr>
          <w:rFonts w:hint="eastAsia" w:ascii="宋体" w:hAnsi="宋体"/>
          <w:b/>
          <w:bCs/>
          <w:color w:val="000000"/>
          <w:highlight w:val="none"/>
          <w:lang w:val="en-US" w:eastAsia="zh-CN"/>
        </w:rPr>
        <w:t>三</w:t>
      </w:r>
      <w:r>
        <w:rPr>
          <w:rFonts w:hint="eastAsia" w:ascii="宋体" w:hAnsi="宋体"/>
          <w:b/>
          <w:bCs/>
          <w:color w:val="000000"/>
          <w:highlight w:val="none"/>
        </w:rPr>
        <w:t>、公告中的内容和要求以最终的招标文件为准。</w:t>
      </w:r>
    </w:p>
    <w:p w14:paraId="37407C38">
      <w:pPr>
        <w:widowControl w:val="0"/>
        <w:shd w:val="clear"/>
        <w:spacing w:line="360" w:lineRule="auto"/>
        <w:ind w:firstLine="4320" w:firstLineChars="1800"/>
        <w:rPr>
          <w:rFonts w:cs="Times New Roman"/>
          <w:kern w:val="2"/>
          <w:szCs w:val="22"/>
          <w:highlight w:val="none"/>
        </w:rPr>
      </w:pPr>
      <w:r>
        <w:rPr>
          <w:rFonts w:hint="eastAsia" w:cs="Times New Roman"/>
          <w:kern w:val="2"/>
          <w:szCs w:val="22"/>
          <w:highlight w:val="none"/>
        </w:rPr>
        <w:t>山东济钢</w:t>
      </w:r>
      <w:r>
        <w:rPr>
          <w:rFonts w:cs="Times New Roman"/>
          <w:kern w:val="2"/>
          <w:szCs w:val="22"/>
          <w:highlight w:val="none"/>
        </w:rPr>
        <w:t>环保新材料有限公司</w:t>
      </w:r>
    </w:p>
    <w:p w14:paraId="57ED6FC9">
      <w:pPr>
        <w:widowControl w:val="0"/>
        <w:shd w:val="clear"/>
        <w:spacing w:line="360" w:lineRule="auto"/>
        <w:ind w:firstLine="5040" w:firstLineChars="2100"/>
        <w:rPr>
          <w:rFonts w:cs="Times New Roman"/>
          <w:kern w:val="2"/>
          <w:szCs w:val="22"/>
          <w:highlight w:val="none"/>
        </w:rPr>
      </w:pPr>
      <w:r>
        <w:rPr>
          <w:rFonts w:cs="Times New Roman"/>
          <w:kern w:val="2"/>
          <w:szCs w:val="22"/>
          <w:highlight w:val="none"/>
        </w:rPr>
        <w:t>20</w:t>
      </w:r>
      <w:r>
        <w:rPr>
          <w:rFonts w:hint="eastAsia" w:cs="Times New Roman"/>
          <w:kern w:val="2"/>
          <w:szCs w:val="22"/>
          <w:highlight w:val="none"/>
        </w:rPr>
        <w:t>2</w:t>
      </w:r>
      <w:r>
        <w:rPr>
          <w:rFonts w:hint="eastAsia" w:cs="Times New Roman"/>
          <w:kern w:val="2"/>
          <w:szCs w:val="22"/>
          <w:highlight w:val="none"/>
          <w:lang w:val="en-US" w:eastAsia="zh-CN"/>
        </w:rPr>
        <w:t>5</w:t>
      </w:r>
      <w:r>
        <w:rPr>
          <w:rFonts w:cs="Times New Roman"/>
          <w:kern w:val="2"/>
          <w:szCs w:val="22"/>
          <w:highlight w:val="none"/>
        </w:rPr>
        <w:t>年</w:t>
      </w:r>
      <w:r>
        <w:rPr>
          <w:rFonts w:hint="eastAsia" w:cs="Times New Roman"/>
          <w:kern w:val="2"/>
          <w:szCs w:val="22"/>
          <w:highlight w:val="none"/>
          <w:lang w:val="en-US" w:eastAsia="zh-CN"/>
        </w:rPr>
        <w:t>7</w:t>
      </w:r>
      <w:r>
        <w:rPr>
          <w:rFonts w:cs="Times New Roman"/>
          <w:kern w:val="2"/>
          <w:szCs w:val="22"/>
          <w:highlight w:val="none"/>
        </w:rPr>
        <w:t>月</w:t>
      </w:r>
      <w:r>
        <w:rPr>
          <w:rFonts w:hint="eastAsia" w:cs="Times New Roman"/>
          <w:kern w:val="2"/>
          <w:szCs w:val="22"/>
          <w:highlight w:val="none"/>
          <w:lang w:val="en-US" w:eastAsia="zh-CN"/>
        </w:rPr>
        <w:t>2</w:t>
      </w:r>
      <w:r>
        <w:rPr>
          <w:rFonts w:cs="Times New Roman"/>
          <w:kern w:val="2"/>
          <w:szCs w:val="22"/>
          <w:highlight w:val="none"/>
        </w:rPr>
        <w:t>日</w:t>
      </w:r>
    </w:p>
    <w:p w14:paraId="567A21F1">
      <w:pPr>
        <w:pStyle w:val="55"/>
        <w:shd w:val="clear"/>
        <w:spacing w:before="156"/>
        <w:rPr>
          <w:b w:val="0"/>
          <w:bCs/>
          <w:sz w:val="36"/>
          <w:szCs w:val="36"/>
          <w:highlight w:val="none"/>
        </w:rPr>
      </w:pPr>
      <w:bookmarkStart w:id="18" w:name="_Toc508871671"/>
      <w:r>
        <w:rPr>
          <w:b w:val="0"/>
          <w:bCs/>
          <w:sz w:val="36"/>
          <w:szCs w:val="36"/>
          <w:highlight w:val="none"/>
        </w:rPr>
        <w:br w:type="page"/>
      </w:r>
      <w:bookmarkStart w:id="19" w:name="_Toc17877_WPSOffice_Level1"/>
      <w:bookmarkStart w:id="20" w:name="_Toc29274_WPSOffice_Level1"/>
      <w:r>
        <w:rPr>
          <w:rFonts w:hint="eastAsia"/>
          <w:b w:val="0"/>
          <w:bCs/>
          <w:sz w:val="36"/>
          <w:szCs w:val="36"/>
          <w:highlight w:val="none"/>
        </w:rPr>
        <w:t>第二章</w:t>
      </w:r>
      <w:r>
        <w:rPr>
          <w:b w:val="0"/>
          <w:bCs/>
          <w:sz w:val="36"/>
          <w:szCs w:val="36"/>
          <w:highlight w:val="none"/>
        </w:rPr>
        <w:t xml:space="preserve">  </w:t>
      </w:r>
      <w:r>
        <w:rPr>
          <w:rFonts w:hint="eastAsia"/>
          <w:b w:val="0"/>
          <w:bCs/>
          <w:sz w:val="36"/>
          <w:szCs w:val="36"/>
          <w:highlight w:val="none"/>
        </w:rPr>
        <w:t>招标须知</w:t>
      </w:r>
      <w:bookmarkEnd w:id="18"/>
      <w:bookmarkEnd w:id="19"/>
      <w:bookmarkEnd w:id="20"/>
    </w:p>
    <w:p w14:paraId="7B4C31C4">
      <w:pPr>
        <w:pStyle w:val="63"/>
        <w:shd w:val="clear"/>
        <w:rPr>
          <w:sz w:val="30"/>
          <w:szCs w:val="30"/>
          <w:highlight w:val="none"/>
        </w:rPr>
      </w:pPr>
      <w:bookmarkStart w:id="21" w:name="_Toc508871672"/>
      <w:r>
        <w:rPr>
          <w:rStyle w:val="95"/>
          <w:rFonts w:hint="eastAsia"/>
          <w:b w:val="0"/>
          <w:bCs w:val="0"/>
          <w:highlight w:val="none"/>
        </w:rPr>
        <w:t>须知前附表</w:t>
      </w:r>
      <w:bookmarkEnd w:id="21"/>
    </w:p>
    <w:tbl>
      <w:tblPr>
        <w:tblStyle w:val="4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60"/>
        <w:gridCol w:w="7138"/>
        <w:gridCol w:w="13"/>
      </w:tblGrid>
      <w:tr w14:paraId="152D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8" w:type="dxa"/>
            <w:noWrap w:val="0"/>
            <w:vAlign w:val="center"/>
          </w:tcPr>
          <w:p w14:paraId="3B6A821B">
            <w:pPr>
              <w:shd w:val="clear"/>
              <w:spacing w:line="400" w:lineRule="exact"/>
              <w:jc w:val="center"/>
              <w:rPr>
                <w:b/>
                <w:highlight w:val="none"/>
              </w:rPr>
            </w:pPr>
            <w:r>
              <w:rPr>
                <w:rFonts w:hint="eastAsia"/>
                <w:b/>
                <w:highlight w:val="none"/>
              </w:rPr>
              <w:t>条款号</w:t>
            </w:r>
          </w:p>
        </w:tc>
        <w:tc>
          <w:tcPr>
            <w:tcW w:w="1660" w:type="dxa"/>
            <w:noWrap w:val="0"/>
            <w:vAlign w:val="center"/>
          </w:tcPr>
          <w:p w14:paraId="681F83F6">
            <w:pPr>
              <w:shd w:val="clear"/>
              <w:spacing w:line="400" w:lineRule="exact"/>
              <w:jc w:val="center"/>
              <w:rPr>
                <w:b/>
                <w:highlight w:val="none"/>
              </w:rPr>
            </w:pPr>
            <w:r>
              <w:rPr>
                <w:rFonts w:hint="eastAsia"/>
                <w:b/>
                <w:highlight w:val="none"/>
              </w:rPr>
              <w:t>条款名称</w:t>
            </w:r>
          </w:p>
        </w:tc>
        <w:tc>
          <w:tcPr>
            <w:tcW w:w="7151" w:type="dxa"/>
            <w:gridSpan w:val="2"/>
            <w:noWrap w:val="0"/>
            <w:vAlign w:val="center"/>
          </w:tcPr>
          <w:p w14:paraId="066D52F4">
            <w:pPr>
              <w:shd w:val="clear"/>
              <w:spacing w:line="340" w:lineRule="exact"/>
              <w:jc w:val="center"/>
              <w:rPr>
                <w:b/>
                <w:highlight w:val="none"/>
              </w:rPr>
            </w:pPr>
            <w:r>
              <w:rPr>
                <w:rFonts w:hint="eastAsia"/>
                <w:b/>
                <w:highlight w:val="none"/>
              </w:rPr>
              <w:t>编列内容</w:t>
            </w:r>
          </w:p>
        </w:tc>
      </w:tr>
      <w:tr w14:paraId="14AC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1624A344">
            <w:pPr>
              <w:shd w:val="clear"/>
              <w:jc w:val="center"/>
              <w:rPr>
                <w:highlight w:val="none"/>
              </w:rPr>
            </w:pPr>
            <w:r>
              <w:rPr>
                <w:rFonts w:hint="eastAsia"/>
                <w:highlight w:val="none"/>
              </w:rPr>
              <w:t>1.1.1</w:t>
            </w:r>
          </w:p>
        </w:tc>
        <w:tc>
          <w:tcPr>
            <w:tcW w:w="1660" w:type="dxa"/>
            <w:noWrap w:val="0"/>
            <w:vAlign w:val="center"/>
          </w:tcPr>
          <w:p w14:paraId="79E01D81">
            <w:pPr>
              <w:shd w:val="clear"/>
              <w:jc w:val="center"/>
              <w:rPr>
                <w:highlight w:val="none"/>
              </w:rPr>
            </w:pPr>
            <w:r>
              <w:rPr>
                <w:rFonts w:hint="eastAsia"/>
                <w:highlight w:val="none"/>
              </w:rPr>
              <w:t>招标人</w:t>
            </w:r>
          </w:p>
        </w:tc>
        <w:tc>
          <w:tcPr>
            <w:tcW w:w="7151" w:type="dxa"/>
            <w:gridSpan w:val="2"/>
            <w:noWrap w:val="0"/>
            <w:vAlign w:val="center"/>
          </w:tcPr>
          <w:p w14:paraId="31A3C0D0">
            <w:pPr>
              <w:shd w:val="clear"/>
              <w:spacing w:line="340" w:lineRule="exact"/>
              <w:rPr>
                <w:highlight w:val="none"/>
              </w:rPr>
            </w:pPr>
            <w:r>
              <w:rPr>
                <w:rFonts w:hint="eastAsia"/>
                <w:highlight w:val="none"/>
              </w:rPr>
              <w:t>山东济钢环保新材料有限公司</w:t>
            </w:r>
          </w:p>
        </w:tc>
      </w:tr>
      <w:tr w14:paraId="1FE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BF9879C">
            <w:pPr>
              <w:shd w:val="clear"/>
              <w:jc w:val="center"/>
              <w:rPr>
                <w:highlight w:val="none"/>
              </w:rPr>
            </w:pPr>
            <w:r>
              <w:rPr>
                <w:rFonts w:hint="eastAsia"/>
                <w:highlight w:val="none"/>
              </w:rPr>
              <w:t>1.1.2</w:t>
            </w:r>
          </w:p>
        </w:tc>
        <w:tc>
          <w:tcPr>
            <w:tcW w:w="1660" w:type="dxa"/>
            <w:noWrap w:val="0"/>
            <w:vAlign w:val="center"/>
          </w:tcPr>
          <w:p w14:paraId="6D3DECD4">
            <w:pPr>
              <w:shd w:val="clear"/>
              <w:jc w:val="center"/>
              <w:rPr>
                <w:highlight w:val="none"/>
              </w:rPr>
            </w:pPr>
            <w:r>
              <w:rPr>
                <w:rFonts w:hint="eastAsia"/>
                <w:highlight w:val="none"/>
              </w:rPr>
              <w:t>项目名称</w:t>
            </w:r>
          </w:p>
        </w:tc>
        <w:tc>
          <w:tcPr>
            <w:tcW w:w="7151" w:type="dxa"/>
            <w:gridSpan w:val="2"/>
            <w:noWrap w:val="0"/>
            <w:vAlign w:val="center"/>
          </w:tcPr>
          <w:p w14:paraId="3D900829">
            <w:pPr>
              <w:shd w:val="clear"/>
              <w:spacing w:line="340" w:lineRule="exact"/>
              <w:rPr>
                <w:rFonts w:hint="default" w:eastAsia="宋体"/>
                <w:highlight w:val="none"/>
                <w:lang w:val="en-US" w:eastAsia="zh-CN"/>
              </w:rPr>
            </w:pPr>
            <w:r>
              <w:rPr>
                <w:rFonts w:hint="eastAsia"/>
                <w:highlight w:val="none"/>
                <w:lang w:val="zh-CN" w:eastAsia="zh-CN"/>
              </w:rPr>
              <w:t>2025年-2026年低压电机及水泵维修保养服务项目</w:t>
            </w:r>
          </w:p>
        </w:tc>
      </w:tr>
      <w:tr w14:paraId="2698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958" w:type="dxa"/>
            <w:noWrap w:val="0"/>
            <w:vAlign w:val="center"/>
          </w:tcPr>
          <w:p w14:paraId="37D2E639">
            <w:pPr>
              <w:shd w:val="clear"/>
              <w:jc w:val="center"/>
              <w:rPr>
                <w:highlight w:val="none"/>
              </w:rPr>
            </w:pPr>
            <w:r>
              <w:rPr>
                <w:rFonts w:hint="eastAsia"/>
                <w:highlight w:val="none"/>
              </w:rPr>
              <w:t>1.1.3</w:t>
            </w:r>
          </w:p>
        </w:tc>
        <w:tc>
          <w:tcPr>
            <w:tcW w:w="1660" w:type="dxa"/>
            <w:noWrap w:val="0"/>
            <w:vAlign w:val="center"/>
          </w:tcPr>
          <w:p w14:paraId="275A56A4">
            <w:pPr>
              <w:shd w:val="clear"/>
              <w:spacing w:line="240" w:lineRule="atLeast"/>
              <w:jc w:val="center"/>
              <w:rPr>
                <w:highlight w:val="none"/>
              </w:rPr>
            </w:pPr>
            <w:r>
              <w:rPr>
                <w:rFonts w:hint="eastAsia"/>
                <w:highlight w:val="none"/>
              </w:rPr>
              <w:t>项目概况</w:t>
            </w:r>
          </w:p>
        </w:tc>
        <w:tc>
          <w:tcPr>
            <w:tcW w:w="7151" w:type="dxa"/>
            <w:gridSpan w:val="2"/>
            <w:noWrap w:val="0"/>
            <w:vAlign w:val="center"/>
          </w:tcPr>
          <w:p w14:paraId="750539FB">
            <w:pPr>
              <w:shd w:val="clear"/>
              <w:spacing w:line="340" w:lineRule="exact"/>
              <w:rPr>
                <w:rFonts w:hint="default" w:eastAsia="宋体"/>
                <w:highlight w:val="none"/>
                <w:lang w:val="en-US" w:eastAsia="zh-CN"/>
              </w:rPr>
            </w:pPr>
            <w:r>
              <w:rPr>
                <w:rFonts w:hint="eastAsia"/>
                <w:highlight w:val="none"/>
                <w:lang w:val="zh-CN" w:eastAsia="zh-CN"/>
              </w:rPr>
              <w:t>低压电机及水泵维修保养，</w:t>
            </w:r>
            <w:r>
              <w:rPr>
                <w:rFonts w:hint="eastAsia"/>
                <w:highlight w:val="none"/>
                <w:lang w:val="en-US" w:eastAsia="zh-CN"/>
              </w:rPr>
              <w:t>确定单价后按照实际工作量和单价据实结算</w:t>
            </w:r>
          </w:p>
        </w:tc>
      </w:tr>
      <w:tr w14:paraId="2081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216A7D10">
            <w:pPr>
              <w:shd w:val="clear"/>
              <w:jc w:val="center"/>
              <w:rPr>
                <w:rFonts w:hint="eastAsia"/>
                <w:highlight w:val="none"/>
              </w:rPr>
            </w:pPr>
            <w:r>
              <w:rPr>
                <w:rFonts w:hint="eastAsia"/>
                <w:highlight w:val="none"/>
              </w:rPr>
              <w:t>1.1.4</w:t>
            </w:r>
          </w:p>
        </w:tc>
        <w:tc>
          <w:tcPr>
            <w:tcW w:w="1660" w:type="dxa"/>
            <w:noWrap w:val="0"/>
            <w:vAlign w:val="center"/>
          </w:tcPr>
          <w:p w14:paraId="669CCA4D">
            <w:pPr>
              <w:shd w:val="clear"/>
              <w:spacing w:line="240" w:lineRule="atLeast"/>
              <w:jc w:val="center"/>
              <w:rPr>
                <w:highlight w:val="none"/>
              </w:rPr>
            </w:pPr>
            <w:r>
              <w:rPr>
                <w:rFonts w:hint="eastAsia"/>
                <w:highlight w:val="none"/>
              </w:rPr>
              <w:t>项目地点</w:t>
            </w:r>
          </w:p>
        </w:tc>
        <w:tc>
          <w:tcPr>
            <w:tcW w:w="7151" w:type="dxa"/>
            <w:gridSpan w:val="2"/>
            <w:noWrap w:val="0"/>
            <w:vAlign w:val="center"/>
          </w:tcPr>
          <w:p w14:paraId="0431BD99">
            <w:pPr>
              <w:shd w:val="clear"/>
              <w:spacing w:line="340" w:lineRule="exact"/>
              <w:rPr>
                <w:highlight w:val="none"/>
              </w:rPr>
            </w:pPr>
            <w:r>
              <w:rPr>
                <w:rFonts w:hint="eastAsia"/>
                <w:highlight w:val="none"/>
              </w:rPr>
              <w:t>山东省济南市章丘区官庄街道青野村东</w:t>
            </w:r>
          </w:p>
        </w:tc>
      </w:tr>
      <w:tr w14:paraId="2553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19B7971C">
            <w:pPr>
              <w:shd w:val="clear"/>
              <w:jc w:val="center"/>
              <w:rPr>
                <w:highlight w:val="none"/>
              </w:rPr>
            </w:pPr>
            <w:r>
              <w:rPr>
                <w:rFonts w:hint="eastAsia"/>
                <w:highlight w:val="none"/>
              </w:rPr>
              <w:t>1.2.1</w:t>
            </w:r>
          </w:p>
        </w:tc>
        <w:tc>
          <w:tcPr>
            <w:tcW w:w="1660" w:type="dxa"/>
            <w:noWrap w:val="0"/>
            <w:vAlign w:val="center"/>
          </w:tcPr>
          <w:p w14:paraId="17E2A586">
            <w:pPr>
              <w:shd w:val="clear"/>
              <w:spacing w:line="240" w:lineRule="atLeast"/>
              <w:jc w:val="center"/>
              <w:rPr>
                <w:highlight w:val="none"/>
              </w:rPr>
            </w:pPr>
            <w:r>
              <w:rPr>
                <w:rFonts w:hint="eastAsia"/>
                <w:highlight w:val="none"/>
              </w:rPr>
              <w:t>资金来源</w:t>
            </w:r>
          </w:p>
        </w:tc>
        <w:tc>
          <w:tcPr>
            <w:tcW w:w="7151" w:type="dxa"/>
            <w:gridSpan w:val="2"/>
            <w:noWrap w:val="0"/>
            <w:vAlign w:val="center"/>
          </w:tcPr>
          <w:p w14:paraId="38D1191D">
            <w:pPr>
              <w:shd w:val="clear"/>
              <w:spacing w:line="340" w:lineRule="exact"/>
              <w:rPr>
                <w:highlight w:val="none"/>
              </w:rPr>
            </w:pPr>
            <w:r>
              <w:rPr>
                <w:rFonts w:hint="eastAsia"/>
                <w:highlight w:val="none"/>
              </w:rPr>
              <w:t>自有资金</w:t>
            </w:r>
          </w:p>
          <w:p w14:paraId="4A0F9941">
            <w:pPr>
              <w:shd w:val="clear"/>
              <w:spacing w:line="340" w:lineRule="exact"/>
              <w:rPr>
                <w:highlight w:val="none"/>
              </w:rPr>
            </w:pPr>
          </w:p>
        </w:tc>
      </w:tr>
      <w:tr w14:paraId="73A9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133E48D2">
            <w:pPr>
              <w:shd w:val="clear"/>
              <w:jc w:val="center"/>
              <w:rPr>
                <w:highlight w:val="none"/>
              </w:rPr>
            </w:pPr>
            <w:r>
              <w:rPr>
                <w:rFonts w:hint="eastAsia"/>
                <w:highlight w:val="none"/>
              </w:rPr>
              <w:t>1.2.2</w:t>
            </w:r>
          </w:p>
        </w:tc>
        <w:tc>
          <w:tcPr>
            <w:tcW w:w="1660" w:type="dxa"/>
            <w:noWrap w:val="0"/>
            <w:vAlign w:val="center"/>
          </w:tcPr>
          <w:p w14:paraId="018FCEFB">
            <w:pPr>
              <w:shd w:val="clear"/>
              <w:spacing w:line="240" w:lineRule="atLeast"/>
              <w:jc w:val="center"/>
              <w:rPr>
                <w:highlight w:val="none"/>
              </w:rPr>
            </w:pPr>
            <w:r>
              <w:rPr>
                <w:rFonts w:hint="eastAsia"/>
                <w:highlight w:val="none"/>
              </w:rPr>
              <w:t>招标方式</w:t>
            </w:r>
          </w:p>
        </w:tc>
        <w:tc>
          <w:tcPr>
            <w:tcW w:w="7151" w:type="dxa"/>
            <w:gridSpan w:val="2"/>
            <w:noWrap w:val="0"/>
            <w:vAlign w:val="center"/>
          </w:tcPr>
          <w:p w14:paraId="7DF465D0">
            <w:pPr>
              <w:shd w:val="clear"/>
              <w:spacing w:line="340" w:lineRule="exact"/>
              <w:rPr>
                <w:highlight w:val="none"/>
              </w:rPr>
            </w:pPr>
            <w:r>
              <w:rPr>
                <w:rFonts w:hint="eastAsia"/>
                <w:highlight w:val="none"/>
              </w:rPr>
              <w:t>公开招标，资格后审</w:t>
            </w:r>
          </w:p>
        </w:tc>
      </w:tr>
      <w:tr w14:paraId="6253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58" w:type="dxa"/>
            <w:noWrap w:val="0"/>
            <w:vAlign w:val="center"/>
          </w:tcPr>
          <w:p w14:paraId="39B3A8E5">
            <w:pPr>
              <w:shd w:val="clear"/>
              <w:jc w:val="center"/>
              <w:rPr>
                <w:highlight w:val="none"/>
              </w:rPr>
            </w:pPr>
            <w:r>
              <w:rPr>
                <w:rFonts w:hint="eastAsia"/>
                <w:highlight w:val="none"/>
              </w:rPr>
              <w:t>1.3.1</w:t>
            </w:r>
          </w:p>
        </w:tc>
        <w:tc>
          <w:tcPr>
            <w:tcW w:w="1660" w:type="dxa"/>
            <w:noWrap w:val="0"/>
            <w:vAlign w:val="center"/>
          </w:tcPr>
          <w:p w14:paraId="358D2E95">
            <w:pPr>
              <w:shd w:val="clear"/>
              <w:spacing w:line="360" w:lineRule="exact"/>
              <w:jc w:val="center"/>
              <w:rPr>
                <w:highlight w:val="none"/>
              </w:rPr>
            </w:pPr>
            <w:r>
              <w:rPr>
                <w:rFonts w:hint="eastAsia"/>
                <w:highlight w:val="none"/>
              </w:rPr>
              <w:t>招标范围</w:t>
            </w:r>
          </w:p>
        </w:tc>
        <w:tc>
          <w:tcPr>
            <w:tcW w:w="7151" w:type="dxa"/>
            <w:gridSpan w:val="2"/>
            <w:noWrap w:val="0"/>
            <w:vAlign w:val="center"/>
          </w:tcPr>
          <w:p w14:paraId="7BEBD523">
            <w:pPr>
              <w:shd w:val="clear"/>
              <w:spacing w:line="360" w:lineRule="auto"/>
              <w:rPr>
                <w:rFonts w:hint="default" w:eastAsia="宋体"/>
                <w:highlight w:val="none"/>
                <w:lang w:val="en-US" w:eastAsia="zh-CN"/>
              </w:rPr>
            </w:pPr>
            <w:r>
              <w:rPr>
                <w:rFonts w:hint="eastAsia"/>
                <w:highlight w:val="none"/>
                <w:lang w:val="en-US" w:eastAsia="zh-CN"/>
              </w:rPr>
              <w:t>见招标公告</w:t>
            </w:r>
          </w:p>
        </w:tc>
      </w:tr>
      <w:tr w14:paraId="1029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958" w:type="dxa"/>
            <w:noWrap w:val="0"/>
            <w:vAlign w:val="center"/>
          </w:tcPr>
          <w:p w14:paraId="018F205C">
            <w:pPr>
              <w:shd w:val="clear"/>
              <w:spacing w:line="240" w:lineRule="atLeast"/>
              <w:jc w:val="center"/>
              <w:rPr>
                <w:highlight w:val="none"/>
              </w:rPr>
            </w:pPr>
            <w:r>
              <w:rPr>
                <w:rFonts w:hint="eastAsia"/>
                <w:highlight w:val="none"/>
              </w:rPr>
              <w:t>1.3.3</w:t>
            </w:r>
          </w:p>
        </w:tc>
        <w:tc>
          <w:tcPr>
            <w:tcW w:w="1660" w:type="dxa"/>
            <w:noWrap w:val="0"/>
            <w:vAlign w:val="center"/>
          </w:tcPr>
          <w:p w14:paraId="5F7EBD40">
            <w:pPr>
              <w:shd w:val="clear"/>
              <w:spacing w:line="240" w:lineRule="atLeast"/>
              <w:jc w:val="center"/>
              <w:rPr>
                <w:highlight w:val="none"/>
              </w:rPr>
            </w:pPr>
            <w:r>
              <w:rPr>
                <w:rFonts w:hint="eastAsia"/>
                <w:highlight w:val="none"/>
              </w:rPr>
              <w:t>地点</w:t>
            </w:r>
          </w:p>
        </w:tc>
        <w:tc>
          <w:tcPr>
            <w:tcW w:w="7151" w:type="dxa"/>
            <w:gridSpan w:val="2"/>
            <w:noWrap w:val="0"/>
            <w:vAlign w:val="center"/>
          </w:tcPr>
          <w:p w14:paraId="1662891B">
            <w:pPr>
              <w:shd w:val="clear"/>
              <w:spacing w:line="340" w:lineRule="exact"/>
              <w:rPr>
                <w:b/>
                <w:highlight w:val="none"/>
              </w:rPr>
            </w:pPr>
            <w:r>
              <w:rPr>
                <w:rFonts w:hint="eastAsia"/>
                <w:highlight w:val="none"/>
              </w:rPr>
              <w:t>山东省济南市章丘区官庄街道青野村东</w:t>
            </w:r>
          </w:p>
        </w:tc>
      </w:tr>
      <w:tr w14:paraId="5F90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noWrap w:val="0"/>
            <w:vAlign w:val="center"/>
          </w:tcPr>
          <w:p w14:paraId="70AED93C">
            <w:pPr>
              <w:shd w:val="clear"/>
              <w:spacing w:line="240" w:lineRule="atLeast"/>
              <w:jc w:val="center"/>
              <w:rPr>
                <w:rFonts w:hint="eastAsia"/>
                <w:highlight w:val="none"/>
              </w:rPr>
            </w:pPr>
            <w:r>
              <w:rPr>
                <w:rFonts w:hint="eastAsia"/>
                <w:highlight w:val="none"/>
              </w:rPr>
              <w:t>1.3.4</w:t>
            </w:r>
          </w:p>
        </w:tc>
        <w:tc>
          <w:tcPr>
            <w:tcW w:w="1660" w:type="dxa"/>
            <w:noWrap w:val="0"/>
            <w:vAlign w:val="center"/>
          </w:tcPr>
          <w:p w14:paraId="2304127B">
            <w:pPr>
              <w:shd w:val="clear"/>
              <w:spacing w:line="240" w:lineRule="atLeast"/>
              <w:jc w:val="center"/>
              <w:rPr>
                <w:b/>
                <w:highlight w:val="none"/>
              </w:rPr>
            </w:pPr>
            <w:r>
              <w:rPr>
                <w:rFonts w:hint="eastAsia"/>
                <w:highlight w:val="none"/>
              </w:rPr>
              <w:t>质保期</w:t>
            </w:r>
          </w:p>
        </w:tc>
        <w:tc>
          <w:tcPr>
            <w:tcW w:w="7151" w:type="dxa"/>
            <w:gridSpan w:val="2"/>
            <w:noWrap w:val="0"/>
            <w:vAlign w:val="center"/>
          </w:tcPr>
          <w:p w14:paraId="5B2958A6">
            <w:pPr>
              <w:shd w:val="clear"/>
              <w:spacing w:line="340" w:lineRule="exact"/>
              <w:rPr>
                <w:b/>
                <w:highlight w:val="none"/>
              </w:rPr>
            </w:pPr>
            <w:r>
              <w:rPr>
                <w:rFonts w:hint="eastAsia"/>
                <w:highlight w:val="none"/>
              </w:rPr>
              <w:t>22kW及以上电机为九个月，22kW以下电机为六个月。</w:t>
            </w:r>
          </w:p>
        </w:tc>
      </w:tr>
      <w:tr w14:paraId="5330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noWrap w:val="0"/>
            <w:vAlign w:val="center"/>
          </w:tcPr>
          <w:p w14:paraId="679807CC">
            <w:pPr>
              <w:shd w:val="clear"/>
              <w:jc w:val="center"/>
              <w:rPr>
                <w:highlight w:val="none"/>
              </w:rPr>
            </w:pPr>
            <w:r>
              <w:rPr>
                <w:rFonts w:hint="eastAsia"/>
                <w:highlight w:val="none"/>
              </w:rPr>
              <w:t>1.4.1</w:t>
            </w:r>
          </w:p>
        </w:tc>
        <w:tc>
          <w:tcPr>
            <w:tcW w:w="1660" w:type="dxa"/>
            <w:noWrap w:val="0"/>
            <w:vAlign w:val="center"/>
          </w:tcPr>
          <w:p w14:paraId="72E8BACE">
            <w:pPr>
              <w:shd w:val="clear"/>
              <w:spacing w:line="360" w:lineRule="exact"/>
              <w:jc w:val="center"/>
              <w:rPr>
                <w:highlight w:val="none"/>
              </w:rPr>
            </w:pPr>
            <w:r>
              <w:rPr>
                <w:rFonts w:hint="eastAsia"/>
                <w:highlight w:val="none"/>
              </w:rPr>
              <w:t xml:space="preserve">投标人的资格要求 </w:t>
            </w:r>
          </w:p>
        </w:tc>
        <w:tc>
          <w:tcPr>
            <w:tcW w:w="7151" w:type="dxa"/>
            <w:gridSpan w:val="2"/>
            <w:noWrap w:val="0"/>
            <w:vAlign w:val="center"/>
          </w:tcPr>
          <w:p w14:paraId="05CD51BE">
            <w:pPr>
              <w:shd w:val="clear"/>
              <w:spacing w:line="340" w:lineRule="exact"/>
              <w:rPr>
                <w:rFonts w:hint="default" w:eastAsia="宋体"/>
                <w:highlight w:val="none"/>
                <w:lang w:val="en-US" w:eastAsia="zh-CN"/>
              </w:rPr>
            </w:pPr>
            <w:r>
              <w:rPr>
                <w:rFonts w:hint="eastAsia"/>
                <w:highlight w:val="none"/>
                <w:lang w:val="en-US" w:eastAsia="zh-CN"/>
              </w:rPr>
              <w:t>见招标公告</w:t>
            </w:r>
          </w:p>
        </w:tc>
      </w:tr>
      <w:tr w14:paraId="787D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B2EB3ED">
            <w:pPr>
              <w:shd w:val="clear"/>
              <w:spacing w:line="240" w:lineRule="atLeast"/>
              <w:jc w:val="center"/>
              <w:rPr>
                <w:highlight w:val="none"/>
              </w:rPr>
            </w:pPr>
            <w:r>
              <w:rPr>
                <w:rFonts w:hint="eastAsia"/>
                <w:highlight w:val="none"/>
              </w:rPr>
              <w:t>1.4.2</w:t>
            </w:r>
          </w:p>
        </w:tc>
        <w:tc>
          <w:tcPr>
            <w:tcW w:w="1660" w:type="dxa"/>
            <w:noWrap w:val="0"/>
            <w:vAlign w:val="center"/>
          </w:tcPr>
          <w:p w14:paraId="779F6E9B">
            <w:pPr>
              <w:shd w:val="clear"/>
              <w:spacing w:line="240" w:lineRule="atLeast"/>
              <w:jc w:val="center"/>
              <w:rPr>
                <w:highlight w:val="none"/>
              </w:rPr>
            </w:pPr>
            <w:r>
              <w:rPr>
                <w:rFonts w:hint="eastAsia"/>
                <w:highlight w:val="none"/>
              </w:rPr>
              <w:t>是否接受联合体</w:t>
            </w:r>
          </w:p>
        </w:tc>
        <w:tc>
          <w:tcPr>
            <w:tcW w:w="7151" w:type="dxa"/>
            <w:gridSpan w:val="2"/>
            <w:noWrap w:val="0"/>
            <w:vAlign w:val="center"/>
          </w:tcPr>
          <w:p w14:paraId="65D01676">
            <w:pPr>
              <w:shd w:val="clear"/>
              <w:spacing w:line="340" w:lineRule="exact"/>
              <w:rPr>
                <w:highlight w:val="none"/>
              </w:rPr>
            </w:pPr>
            <w:r>
              <w:rPr>
                <w:rFonts w:hint="eastAsia"/>
                <w:highlight w:val="none"/>
              </w:rPr>
              <w:t>不接受</w:t>
            </w:r>
          </w:p>
        </w:tc>
      </w:tr>
      <w:tr w14:paraId="7BC0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495D4ED3">
            <w:pPr>
              <w:shd w:val="clear"/>
              <w:spacing w:line="240" w:lineRule="atLeast"/>
              <w:jc w:val="center"/>
              <w:rPr>
                <w:rFonts w:hint="eastAsia"/>
                <w:highlight w:val="none"/>
              </w:rPr>
            </w:pPr>
            <w:r>
              <w:rPr>
                <w:rFonts w:hint="eastAsia"/>
                <w:highlight w:val="none"/>
              </w:rPr>
              <w:t>1.9</w:t>
            </w:r>
          </w:p>
        </w:tc>
        <w:tc>
          <w:tcPr>
            <w:tcW w:w="1660" w:type="dxa"/>
            <w:noWrap w:val="0"/>
            <w:vAlign w:val="center"/>
          </w:tcPr>
          <w:p w14:paraId="03CA8715">
            <w:pPr>
              <w:shd w:val="clear"/>
              <w:spacing w:line="240" w:lineRule="atLeast"/>
              <w:jc w:val="center"/>
              <w:rPr>
                <w:highlight w:val="none"/>
              </w:rPr>
            </w:pPr>
            <w:r>
              <w:rPr>
                <w:rFonts w:hint="eastAsia"/>
                <w:highlight w:val="none"/>
              </w:rPr>
              <w:t>是否组织现场踏勘</w:t>
            </w:r>
          </w:p>
        </w:tc>
        <w:tc>
          <w:tcPr>
            <w:tcW w:w="7151" w:type="dxa"/>
            <w:gridSpan w:val="2"/>
            <w:noWrap w:val="0"/>
            <w:vAlign w:val="center"/>
          </w:tcPr>
          <w:p w14:paraId="34F9F049">
            <w:pPr>
              <w:shd w:val="clear"/>
              <w:spacing w:line="340" w:lineRule="exact"/>
              <w:rPr>
                <w:highlight w:val="none"/>
              </w:rPr>
            </w:pPr>
            <w:r>
              <w:rPr>
                <w:rFonts w:hint="eastAsia"/>
                <w:highlight w:val="none"/>
              </w:rPr>
              <w:t>不统一组织现场踏勘</w:t>
            </w:r>
          </w:p>
        </w:tc>
      </w:tr>
      <w:tr w14:paraId="6BE7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40F77C19">
            <w:pPr>
              <w:shd w:val="clear"/>
              <w:spacing w:line="240" w:lineRule="atLeast"/>
              <w:jc w:val="center"/>
              <w:rPr>
                <w:highlight w:val="none"/>
              </w:rPr>
            </w:pPr>
            <w:r>
              <w:rPr>
                <w:rFonts w:hint="eastAsia"/>
                <w:highlight w:val="none"/>
              </w:rPr>
              <w:t>1.10</w:t>
            </w:r>
          </w:p>
        </w:tc>
        <w:tc>
          <w:tcPr>
            <w:tcW w:w="1660" w:type="dxa"/>
            <w:noWrap w:val="0"/>
            <w:vAlign w:val="center"/>
          </w:tcPr>
          <w:p w14:paraId="14CA56FE">
            <w:pPr>
              <w:shd w:val="clear"/>
              <w:spacing w:line="240" w:lineRule="atLeast"/>
              <w:jc w:val="center"/>
              <w:rPr>
                <w:highlight w:val="none"/>
              </w:rPr>
            </w:pPr>
            <w:r>
              <w:rPr>
                <w:rFonts w:hint="eastAsia"/>
                <w:highlight w:val="none"/>
              </w:rPr>
              <w:t>招标预备会</w:t>
            </w:r>
          </w:p>
        </w:tc>
        <w:tc>
          <w:tcPr>
            <w:tcW w:w="7151" w:type="dxa"/>
            <w:gridSpan w:val="2"/>
            <w:noWrap w:val="0"/>
            <w:vAlign w:val="center"/>
          </w:tcPr>
          <w:p w14:paraId="3F7AD15B">
            <w:pPr>
              <w:shd w:val="clear"/>
              <w:spacing w:line="340" w:lineRule="exact"/>
              <w:rPr>
                <w:highlight w:val="none"/>
              </w:rPr>
            </w:pPr>
            <w:r>
              <w:rPr>
                <w:rFonts w:hint="eastAsia"/>
                <w:highlight w:val="none"/>
              </w:rPr>
              <w:t>不召开</w:t>
            </w:r>
          </w:p>
        </w:tc>
      </w:tr>
      <w:tr w14:paraId="77E1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58" w:type="dxa"/>
            <w:noWrap w:val="0"/>
            <w:vAlign w:val="center"/>
          </w:tcPr>
          <w:p w14:paraId="0AB0A925">
            <w:pPr>
              <w:shd w:val="clear"/>
              <w:jc w:val="center"/>
              <w:rPr>
                <w:highlight w:val="none"/>
              </w:rPr>
            </w:pPr>
            <w:r>
              <w:rPr>
                <w:rFonts w:hint="eastAsia"/>
                <w:highlight w:val="none"/>
              </w:rPr>
              <w:t>2.1.1</w:t>
            </w:r>
          </w:p>
        </w:tc>
        <w:tc>
          <w:tcPr>
            <w:tcW w:w="1660" w:type="dxa"/>
            <w:noWrap w:val="0"/>
            <w:vAlign w:val="center"/>
          </w:tcPr>
          <w:p w14:paraId="33A7DB56">
            <w:pPr>
              <w:shd w:val="clear"/>
              <w:spacing w:line="360" w:lineRule="exact"/>
              <w:jc w:val="center"/>
              <w:rPr>
                <w:rFonts w:hint="eastAsia"/>
                <w:highlight w:val="none"/>
              </w:rPr>
            </w:pPr>
            <w:r>
              <w:rPr>
                <w:rFonts w:hint="eastAsia"/>
                <w:highlight w:val="none"/>
              </w:rPr>
              <w:t>构成招标文件的其他材料</w:t>
            </w:r>
          </w:p>
        </w:tc>
        <w:tc>
          <w:tcPr>
            <w:tcW w:w="7151" w:type="dxa"/>
            <w:gridSpan w:val="2"/>
            <w:noWrap w:val="0"/>
            <w:vAlign w:val="center"/>
          </w:tcPr>
          <w:p w14:paraId="4AF540F0">
            <w:pPr>
              <w:shd w:val="clear"/>
              <w:spacing w:line="340" w:lineRule="exact"/>
              <w:rPr>
                <w:rFonts w:hint="eastAsia"/>
                <w:highlight w:val="none"/>
              </w:rPr>
            </w:pPr>
            <w:r>
              <w:rPr>
                <w:rFonts w:hint="eastAsia"/>
                <w:highlight w:val="none"/>
              </w:rPr>
              <w:t>招标文件澄清、答疑、补充文件等</w:t>
            </w:r>
          </w:p>
        </w:tc>
      </w:tr>
      <w:tr w14:paraId="763D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8" w:type="dxa"/>
            <w:noWrap w:val="0"/>
            <w:vAlign w:val="center"/>
          </w:tcPr>
          <w:p w14:paraId="4BADA5D2">
            <w:pPr>
              <w:shd w:val="clear"/>
              <w:jc w:val="center"/>
              <w:rPr>
                <w:rFonts w:hint="eastAsia"/>
                <w:highlight w:val="none"/>
              </w:rPr>
            </w:pPr>
            <w:r>
              <w:rPr>
                <w:rFonts w:hint="eastAsia"/>
                <w:highlight w:val="none"/>
              </w:rPr>
              <w:t>2.1.3</w:t>
            </w:r>
          </w:p>
        </w:tc>
        <w:tc>
          <w:tcPr>
            <w:tcW w:w="1660" w:type="dxa"/>
            <w:noWrap w:val="0"/>
            <w:vAlign w:val="center"/>
          </w:tcPr>
          <w:p w14:paraId="19EE579B">
            <w:pPr>
              <w:shd w:val="clear"/>
              <w:spacing w:line="360" w:lineRule="exact"/>
              <w:jc w:val="center"/>
              <w:rPr>
                <w:highlight w:val="none"/>
              </w:rPr>
            </w:pPr>
            <w:r>
              <w:rPr>
                <w:rFonts w:hint="eastAsia"/>
                <w:highlight w:val="none"/>
              </w:rPr>
              <w:t>招标文件的发布</w:t>
            </w:r>
          </w:p>
        </w:tc>
        <w:tc>
          <w:tcPr>
            <w:tcW w:w="7151" w:type="dxa"/>
            <w:gridSpan w:val="2"/>
            <w:noWrap w:val="0"/>
            <w:vAlign w:val="center"/>
          </w:tcPr>
          <w:p w14:paraId="3DFF3FF1">
            <w:pPr>
              <w:shd w:val="clear"/>
              <w:spacing w:line="340" w:lineRule="exact"/>
              <w:rPr>
                <w:highlight w:val="none"/>
              </w:rPr>
            </w:pPr>
            <w:r>
              <w:rPr>
                <w:rFonts w:hint="eastAsia"/>
                <w:highlight w:val="none"/>
              </w:rPr>
              <w:t>本招标文件在济钢集团有限公司阳光购销平台（网址：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上发布。除上述媒介以外的媒介转载或发布与本次招标相关信息的，招标人不承担任何责任并保留追究相关方责任的权利。</w:t>
            </w:r>
          </w:p>
        </w:tc>
      </w:tr>
      <w:tr w14:paraId="35E2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337D1C5">
            <w:pPr>
              <w:shd w:val="clear"/>
              <w:jc w:val="center"/>
              <w:rPr>
                <w:rFonts w:hint="eastAsia"/>
                <w:highlight w:val="none"/>
              </w:rPr>
            </w:pPr>
            <w:r>
              <w:rPr>
                <w:rFonts w:hint="eastAsia"/>
                <w:highlight w:val="none"/>
              </w:rPr>
              <w:t>2.2.2</w:t>
            </w:r>
          </w:p>
        </w:tc>
        <w:tc>
          <w:tcPr>
            <w:tcW w:w="1660" w:type="dxa"/>
            <w:noWrap w:val="0"/>
            <w:vAlign w:val="center"/>
          </w:tcPr>
          <w:p w14:paraId="7BF8B8CF">
            <w:pPr>
              <w:shd w:val="clear"/>
              <w:spacing w:line="442" w:lineRule="exact"/>
              <w:jc w:val="center"/>
              <w:rPr>
                <w:rFonts w:hint="eastAsia"/>
                <w:highlight w:val="none"/>
              </w:rPr>
            </w:pPr>
            <w:r>
              <w:rPr>
                <w:rFonts w:hint="eastAsia"/>
                <w:highlight w:val="none"/>
              </w:rPr>
              <w:t>招标</w:t>
            </w:r>
            <w:r>
              <w:rPr>
                <w:highlight w:val="none"/>
              </w:rPr>
              <w:t>文件的</w:t>
            </w:r>
            <w:r>
              <w:rPr>
                <w:rFonts w:hint="eastAsia"/>
                <w:highlight w:val="none"/>
              </w:rPr>
              <w:t>澄清</w:t>
            </w:r>
          </w:p>
        </w:tc>
        <w:tc>
          <w:tcPr>
            <w:tcW w:w="7151" w:type="dxa"/>
            <w:gridSpan w:val="2"/>
            <w:tcBorders>
              <w:bottom w:val="single" w:color="auto" w:sz="4" w:space="0"/>
            </w:tcBorders>
            <w:noWrap w:val="0"/>
            <w:vAlign w:val="center"/>
          </w:tcPr>
          <w:p w14:paraId="6AEEB0F1">
            <w:pPr>
              <w:shd w:val="clear"/>
              <w:spacing w:line="398" w:lineRule="exact"/>
              <w:rPr>
                <w:rFonts w:hint="eastAsia"/>
                <w:highlight w:val="none"/>
              </w:rPr>
            </w:pPr>
            <w:r>
              <w:rPr>
                <w:rFonts w:hint="eastAsia"/>
                <w:highlight w:val="none"/>
              </w:rPr>
              <w:t>招标</w:t>
            </w:r>
            <w:r>
              <w:rPr>
                <w:highlight w:val="none"/>
              </w:rPr>
              <w:t>文件</w:t>
            </w:r>
            <w:r>
              <w:rPr>
                <w:rFonts w:hint="eastAsia"/>
                <w:highlight w:val="none"/>
              </w:rPr>
              <w:t>澄清的</w:t>
            </w:r>
            <w:r>
              <w:rPr>
                <w:highlight w:val="none"/>
              </w:rPr>
              <w:t>截止时间</w:t>
            </w:r>
            <w:r>
              <w:rPr>
                <w:rFonts w:hint="eastAsia"/>
                <w:highlight w:val="none"/>
              </w:rPr>
              <w:t>为202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日，澄清文件在济钢集团有限公司阳光购销平台（网址：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上发布，并以书面形式通知所有招标文件收受人。</w:t>
            </w:r>
          </w:p>
        </w:tc>
      </w:tr>
      <w:tr w14:paraId="5A24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54B1AA9">
            <w:pPr>
              <w:shd w:val="clear"/>
              <w:jc w:val="center"/>
              <w:rPr>
                <w:rFonts w:hint="eastAsia"/>
                <w:highlight w:val="none"/>
              </w:rPr>
            </w:pPr>
            <w:r>
              <w:rPr>
                <w:rFonts w:hint="eastAsia"/>
                <w:highlight w:val="none"/>
              </w:rPr>
              <w:t>2.3</w:t>
            </w:r>
          </w:p>
        </w:tc>
        <w:tc>
          <w:tcPr>
            <w:tcW w:w="1660" w:type="dxa"/>
            <w:noWrap w:val="0"/>
            <w:vAlign w:val="center"/>
          </w:tcPr>
          <w:p w14:paraId="4AB1D1DE">
            <w:pPr>
              <w:shd w:val="clear"/>
              <w:spacing w:line="360" w:lineRule="exact"/>
              <w:jc w:val="center"/>
              <w:rPr>
                <w:rFonts w:hint="eastAsia"/>
                <w:highlight w:val="none"/>
              </w:rPr>
            </w:pPr>
            <w:r>
              <w:rPr>
                <w:rFonts w:hint="eastAsia"/>
                <w:highlight w:val="none"/>
              </w:rPr>
              <w:t>招标</w:t>
            </w:r>
            <w:r>
              <w:rPr>
                <w:highlight w:val="none"/>
              </w:rPr>
              <w:t>文件</w:t>
            </w:r>
            <w:r>
              <w:rPr>
                <w:rFonts w:hint="eastAsia"/>
                <w:highlight w:val="none"/>
              </w:rPr>
              <w:t>的</w:t>
            </w:r>
            <w:r>
              <w:rPr>
                <w:highlight w:val="none"/>
              </w:rPr>
              <w:t>修改</w:t>
            </w:r>
          </w:p>
        </w:tc>
        <w:tc>
          <w:tcPr>
            <w:tcW w:w="7151" w:type="dxa"/>
            <w:gridSpan w:val="2"/>
            <w:tcBorders>
              <w:bottom w:val="single" w:color="auto" w:sz="4" w:space="0"/>
            </w:tcBorders>
            <w:noWrap w:val="0"/>
            <w:vAlign w:val="center"/>
          </w:tcPr>
          <w:p w14:paraId="0C21657A">
            <w:pPr>
              <w:shd w:val="clear"/>
              <w:spacing w:line="398" w:lineRule="exact"/>
              <w:rPr>
                <w:rFonts w:hint="eastAsia"/>
                <w:highlight w:val="none"/>
              </w:rPr>
            </w:pPr>
            <w:r>
              <w:rPr>
                <w:rFonts w:hint="eastAsia"/>
                <w:highlight w:val="none"/>
              </w:rPr>
              <w:t>招标文件修改的截止时间为202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日，修改文件在济钢集团有限公司阳光购销平台（网址：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上发布。</w:t>
            </w:r>
          </w:p>
        </w:tc>
      </w:tr>
      <w:tr w14:paraId="4B20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3F33E4E3">
            <w:pPr>
              <w:shd w:val="clear"/>
              <w:jc w:val="center"/>
              <w:rPr>
                <w:highlight w:val="none"/>
              </w:rPr>
            </w:pPr>
            <w:r>
              <w:rPr>
                <w:rFonts w:hint="eastAsia"/>
                <w:highlight w:val="none"/>
              </w:rPr>
              <w:t>3.1.1</w:t>
            </w:r>
          </w:p>
        </w:tc>
        <w:tc>
          <w:tcPr>
            <w:tcW w:w="1660" w:type="dxa"/>
            <w:noWrap w:val="0"/>
            <w:vAlign w:val="center"/>
          </w:tcPr>
          <w:p w14:paraId="4B9AA588">
            <w:pPr>
              <w:shd w:val="clear"/>
              <w:spacing w:line="360" w:lineRule="exact"/>
              <w:jc w:val="center"/>
              <w:rPr>
                <w:highlight w:val="none"/>
              </w:rPr>
            </w:pPr>
            <w:r>
              <w:rPr>
                <w:rFonts w:hint="eastAsia"/>
                <w:highlight w:val="none"/>
              </w:rPr>
              <w:t>投标文件内容</w:t>
            </w:r>
          </w:p>
        </w:tc>
        <w:tc>
          <w:tcPr>
            <w:tcW w:w="7151" w:type="dxa"/>
            <w:gridSpan w:val="2"/>
            <w:tcBorders>
              <w:bottom w:val="single" w:color="auto" w:sz="4" w:space="0"/>
            </w:tcBorders>
            <w:noWrap w:val="0"/>
            <w:vAlign w:val="center"/>
          </w:tcPr>
          <w:p w14:paraId="58BB24EE">
            <w:pPr>
              <w:shd w:val="clear"/>
              <w:spacing w:line="340" w:lineRule="exact"/>
              <w:rPr>
                <w:highlight w:val="none"/>
              </w:rPr>
            </w:pPr>
            <w:r>
              <w:rPr>
                <w:rFonts w:hint="eastAsia"/>
                <w:highlight w:val="none"/>
              </w:rPr>
              <w:t>招标文件商务、技术部分内容</w:t>
            </w:r>
          </w:p>
        </w:tc>
      </w:tr>
      <w:tr w14:paraId="4931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noWrap w:val="0"/>
            <w:vAlign w:val="center"/>
          </w:tcPr>
          <w:p w14:paraId="3196C54D">
            <w:pPr>
              <w:shd w:val="clear"/>
              <w:jc w:val="center"/>
              <w:rPr>
                <w:highlight w:val="none"/>
              </w:rPr>
            </w:pPr>
            <w:r>
              <w:rPr>
                <w:rFonts w:hint="eastAsia"/>
                <w:highlight w:val="none"/>
              </w:rPr>
              <w:t>3.2.1</w:t>
            </w:r>
          </w:p>
        </w:tc>
        <w:tc>
          <w:tcPr>
            <w:tcW w:w="1660" w:type="dxa"/>
            <w:shd w:val="clear" w:color="auto" w:fill="auto"/>
            <w:noWrap w:val="0"/>
            <w:vAlign w:val="center"/>
          </w:tcPr>
          <w:p w14:paraId="3AF9DF5D">
            <w:pPr>
              <w:shd w:val="clear"/>
              <w:spacing w:line="360" w:lineRule="exact"/>
              <w:jc w:val="center"/>
              <w:rPr>
                <w:highlight w:val="none"/>
              </w:rPr>
            </w:pPr>
            <w:r>
              <w:rPr>
                <w:rFonts w:hint="eastAsia"/>
                <w:highlight w:val="none"/>
              </w:rPr>
              <w:t>投标报价</w:t>
            </w:r>
          </w:p>
        </w:tc>
        <w:tc>
          <w:tcPr>
            <w:tcW w:w="7151" w:type="dxa"/>
            <w:gridSpan w:val="2"/>
            <w:shd w:val="clear" w:color="auto" w:fill="FFFFFF"/>
            <w:noWrap w:val="0"/>
            <w:vAlign w:val="center"/>
          </w:tcPr>
          <w:p w14:paraId="0A0B1A6C">
            <w:pPr>
              <w:shd w:val="clear"/>
              <w:spacing w:line="340" w:lineRule="exact"/>
              <w:rPr>
                <w:highlight w:val="none"/>
              </w:rPr>
            </w:pPr>
            <w:r>
              <w:rPr>
                <w:rFonts w:hint="eastAsia"/>
                <w:highlight w:val="none"/>
              </w:rPr>
              <w:t>1.报价方式：</w:t>
            </w:r>
            <w:r>
              <w:rPr>
                <w:rFonts w:hint="eastAsia"/>
                <w:highlight w:val="none"/>
                <w:lang w:val="en-US" w:eastAsia="zh-CN"/>
              </w:rPr>
              <w:t>分项报价、</w:t>
            </w:r>
            <w:r>
              <w:rPr>
                <w:rFonts w:hint="eastAsia"/>
                <w:highlight w:val="none"/>
              </w:rPr>
              <w:t xml:space="preserve">投标总价。 </w:t>
            </w:r>
          </w:p>
          <w:p w14:paraId="49255553">
            <w:pPr>
              <w:shd w:val="clear"/>
              <w:spacing w:line="340" w:lineRule="exact"/>
              <w:rPr>
                <w:highlight w:val="none"/>
              </w:rPr>
            </w:pPr>
            <w:r>
              <w:rPr>
                <w:rFonts w:hint="eastAsia"/>
                <w:highlight w:val="none"/>
              </w:rPr>
              <w:t>2.报价币种：人民币。</w:t>
            </w:r>
          </w:p>
          <w:p w14:paraId="1A620827">
            <w:pPr>
              <w:shd w:val="clear"/>
              <w:spacing w:line="340" w:lineRule="exact"/>
              <w:rPr>
                <w:rFonts w:hint="eastAsia" w:eastAsia="宋体"/>
                <w:highlight w:val="none"/>
                <w:lang w:eastAsia="zh-CN"/>
              </w:rPr>
            </w:pPr>
            <w:r>
              <w:rPr>
                <w:rFonts w:hint="eastAsia"/>
                <w:highlight w:val="none"/>
              </w:rPr>
              <w:t>3.报价为</w:t>
            </w:r>
            <w:r>
              <w:rPr>
                <w:rFonts w:hint="eastAsia"/>
                <w:highlight w:val="none"/>
                <w:lang w:val="en-US" w:eastAsia="zh-CN"/>
              </w:rPr>
              <w:t>含税</w:t>
            </w:r>
            <w:r>
              <w:rPr>
                <w:rFonts w:hint="eastAsia"/>
                <w:highlight w:val="none"/>
              </w:rPr>
              <w:t>价格</w:t>
            </w:r>
            <w:r>
              <w:rPr>
                <w:rFonts w:hint="eastAsia"/>
                <w:highlight w:val="none"/>
                <w:lang w:eastAsia="zh-CN"/>
              </w:rPr>
              <w:t>。</w:t>
            </w:r>
          </w:p>
        </w:tc>
      </w:tr>
      <w:tr w14:paraId="3364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D6FEAAA">
            <w:pPr>
              <w:shd w:val="clear"/>
              <w:jc w:val="center"/>
              <w:rPr>
                <w:highlight w:val="none"/>
              </w:rPr>
            </w:pPr>
            <w:r>
              <w:rPr>
                <w:rFonts w:hint="eastAsia"/>
                <w:highlight w:val="none"/>
              </w:rPr>
              <w:t>3.2.2</w:t>
            </w:r>
          </w:p>
        </w:tc>
        <w:tc>
          <w:tcPr>
            <w:tcW w:w="1660" w:type="dxa"/>
            <w:noWrap w:val="0"/>
            <w:vAlign w:val="center"/>
          </w:tcPr>
          <w:p w14:paraId="1C001F0C">
            <w:pPr>
              <w:shd w:val="clear"/>
              <w:spacing w:line="360" w:lineRule="exact"/>
              <w:jc w:val="center"/>
              <w:rPr>
                <w:rFonts w:hint="eastAsia"/>
                <w:highlight w:val="none"/>
              </w:rPr>
            </w:pPr>
            <w:r>
              <w:rPr>
                <w:rFonts w:hint="eastAsia"/>
                <w:highlight w:val="none"/>
              </w:rPr>
              <w:t>投标报价修改</w:t>
            </w:r>
          </w:p>
        </w:tc>
        <w:tc>
          <w:tcPr>
            <w:tcW w:w="7151" w:type="dxa"/>
            <w:gridSpan w:val="2"/>
            <w:noWrap w:val="0"/>
            <w:vAlign w:val="center"/>
          </w:tcPr>
          <w:p w14:paraId="5F0746CE">
            <w:pPr>
              <w:shd w:val="clear"/>
              <w:spacing w:line="340" w:lineRule="exact"/>
              <w:rPr>
                <w:rFonts w:hint="eastAsia"/>
                <w:highlight w:val="none"/>
              </w:rPr>
            </w:pPr>
            <w:r>
              <w:rPr>
                <w:rFonts w:hint="eastAsia"/>
                <w:highlight w:val="none"/>
              </w:rPr>
              <w:t>详见招标须知正文3.2.2节内容</w:t>
            </w:r>
          </w:p>
        </w:tc>
      </w:tr>
      <w:tr w14:paraId="5E9E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B281B59">
            <w:pPr>
              <w:shd w:val="clear"/>
              <w:jc w:val="center"/>
              <w:rPr>
                <w:highlight w:val="none"/>
              </w:rPr>
            </w:pPr>
            <w:r>
              <w:rPr>
                <w:rFonts w:hint="eastAsia"/>
                <w:highlight w:val="none"/>
              </w:rPr>
              <w:t>3.3.1</w:t>
            </w:r>
          </w:p>
        </w:tc>
        <w:tc>
          <w:tcPr>
            <w:tcW w:w="1660" w:type="dxa"/>
            <w:noWrap w:val="0"/>
            <w:vAlign w:val="center"/>
          </w:tcPr>
          <w:p w14:paraId="23C39393">
            <w:pPr>
              <w:shd w:val="clear"/>
              <w:spacing w:line="360" w:lineRule="exact"/>
              <w:jc w:val="center"/>
              <w:rPr>
                <w:highlight w:val="none"/>
              </w:rPr>
            </w:pPr>
            <w:r>
              <w:rPr>
                <w:rFonts w:hint="eastAsia"/>
                <w:highlight w:val="none"/>
              </w:rPr>
              <w:t>招标有效期</w:t>
            </w:r>
          </w:p>
        </w:tc>
        <w:tc>
          <w:tcPr>
            <w:tcW w:w="7151" w:type="dxa"/>
            <w:gridSpan w:val="2"/>
            <w:noWrap w:val="0"/>
            <w:vAlign w:val="center"/>
          </w:tcPr>
          <w:p w14:paraId="459FF37E">
            <w:pPr>
              <w:shd w:val="clear"/>
              <w:spacing w:line="340" w:lineRule="exact"/>
              <w:rPr>
                <w:highlight w:val="none"/>
              </w:rPr>
            </w:pPr>
            <w:r>
              <w:rPr>
                <w:rFonts w:hint="eastAsia"/>
                <w:highlight w:val="none"/>
              </w:rPr>
              <w:t>90日历天（自</w:t>
            </w:r>
            <w:r>
              <w:rPr>
                <w:highlight w:val="none"/>
              </w:rPr>
              <w:t>递交</w:t>
            </w:r>
            <w:r>
              <w:rPr>
                <w:rFonts w:hint="eastAsia"/>
                <w:highlight w:val="none"/>
              </w:rPr>
              <w:t>投标</w:t>
            </w:r>
            <w:r>
              <w:rPr>
                <w:highlight w:val="none"/>
              </w:rPr>
              <w:t>文件截止</w:t>
            </w:r>
            <w:r>
              <w:rPr>
                <w:rFonts w:hint="eastAsia"/>
                <w:highlight w:val="none"/>
              </w:rPr>
              <w:t>之日起）</w:t>
            </w:r>
          </w:p>
        </w:tc>
      </w:tr>
      <w:tr w14:paraId="045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07B02200">
            <w:pPr>
              <w:shd w:val="clear"/>
              <w:jc w:val="center"/>
              <w:rPr>
                <w:color w:val="000000"/>
                <w:highlight w:val="none"/>
              </w:rPr>
            </w:pPr>
            <w:r>
              <w:rPr>
                <w:rFonts w:hint="eastAsia"/>
                <w:color w:val="000000"/>
                <w:highlight w:val="none"/>
              </w:rPr>
              <w:t>3.4</w:t>
            </w:r>
          </w:p>
        </w:tc>
        <w:tc>
          <w:tcPr>
            <w:tcW w:w="1660" w:type="dxa"/>
            <w:noWrap w:val="0"/>
            <w:vAlign w:val="center"/>
          </w:tcPr>
          <w:p w14:paraId="6DE43A8A">
            <w:pPr>
              <w:shd w:val="clear"/>
              <w:spacing w:line="360" w:lineRule="exact"/>
              <w:jc w:val="center"/>
              <w:rPr>
                <w:color w:val="000000"/>
                <w:highlight w:val="none"/>
              </w:rPr>
            </w:pPr>
            <w:r>
              <w:rPr>
                <w:rFonts w:hint="eastAsia"/>
                <w:color w:val="000000"/>
                <w:highlight w:val="none"/>
              </w:rPr>
              <w:t>投标保证金</w:t>
            </w:r>
          </w:p>
        </w:tc>
        <w:tc>
          <w:tcPr>
            <w:tcW w:w="7151" w:type="dxa"/>
            <w:gridSpan w:val="2"/>
            <w:noWrap w:val="0"/>
            <w:vAlign w:val="center"/>
          </w:tcPr>
          <w:p w14:paraId="288896CA">
            <w:pPr>
              <w:shd w:val="clear"/>
              <w:spacing w:line="340" w:lineRule="exact"/>
              <w:rPr>
                <w:rFonts w:hint="default" w:eastAsia="宋体"/>
                <w:highlight w:val="none"/>
                <w:lang w:val="en-US" w:eastAsia="zh-CN"/>
              </w:rPr>
            </w:pPr>
            <w:r>
              <w:rPr>
                <w:rFonts w:hint="eastAsia"/>
                <w:highlight w:val="none"/>
                <w:lang w:val="en-US" w:eastAsia="zh-CN"/>
              </w:rPr>
              <w:t>无</w:t>
            </w:r>
          </w:p>
        </w:tc>
      </w:tr>
      <w:tr w14:paraId="7A0B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145D2886">
            <w:pPr>
              <w:shd w:val="clear"/>
              <w:jc w:val="center"/>
              <w:rPr>
                <w:highlight w:val="none"/>
              </w:rPr>
            </w:pPr>
            <w:r>
              <w:rPr>
                <w:rFonts w:hint="eastAsia"/>
                <w:highlight w:val="none"/>
              </w:rPr>
              <w:t>3.5.1</w:t>
            </w:r>
          </w:p>
        </w:tc>
        <w:tc>
          <w:tcPr>
            <w:tcW w:w="1660" w:type="dxa"/>
            <w:noWrap w:val="0"/>
            <w:vAlign w:val="center"/>
          </w:tcPr>
          <w:p w14:paraId="6089115C">
            <w:pPr>
              <w:shd w:val="clear"/>
              <w:spacing w:line="360" w:lineRule="exact"/>
              <w:ind w:left="-120" w:leftChars="-50" w:right="-120" w:rightChars="-50"/>
              <w:jc w:val="center"/>
              <w:rPr>
                <w:highlight w:val="none"/>
              </w:rPr>
            </w:pPr>
            <w:r>
              <w:rPr>
                <w:rFonts w:hint="eastAsia"/>
                <w:highlight w:val="none"/>
              </w:rPr>
              <w:t>资格审查</w:t>
            </w:r>
          </w:p>
        </w:tc>
        <w:tc>
          <w:tcPr>
            <w:tcW w:w="7151" w:type="dxa"/>
            <w:gridSpan w:val="2"/>
            <w:noWrap w:val="0"/>
            <w:vAlign w:val="center"/>
          </w:tcPr>
          <w:p w14:paraId="6CD49ADD">
            <w:pPr>
              <w:shd w:val="clear"/>
              <w:spacing w:line="340" w:lineRule="exact"/>
              <w:jc w:val="left"/>
              <w:rPr>
                <w:highlight w:val="none"/>
              </w:rPr>
            </w:pPr>
            <w:r>
              <w:rPr>
                <w:highlight w:val="none"/>
              </w:rPr>
              <w:t>1、</w:t>
            </w:r>
            <w:r>
              <w:rPr>
                <w:rFonts w:hint="eastAsia"/>
                <w:highlight w:val="none"/>
                <w:lang w:val="en-US" w:eastAsia="zh-CN"/>
              </w:rPr>
              <w:t>评标委员会对投标人的资格审查文件（电子版）进行评审。评审合格的进入下一阶段评标</w:t>
            </w:r>
            <w:r>
              <w:rPr>
                <w:highlight w:val="none"/>
              </w:rPr>
              <w:t>；</w:t>
            </w:r>
            <w:r>
              <w:rPr>
                <w:rFonts w:hint="eastAsia"/>
                <w:highlight w:val="none"/>
              </w:rPr>
              <w:t>评标</w:t>
            </w:r>
            <w:r>
              <w:rPr>
                <w:highlight w:val="none"/>
              </w:rPr>
              <w:t>不合格的</w:t>
            </w:r>
            <w:r>
              <w:rPr>
                <w:rFonts w:hint="eastAsia"/>
                <w:highlight w:val="none"/>
              </w:rPr>
              <w:t>取消其招标资格</w:t>
            </w:r>
            <w:r>
              <w:rPr>
                <w:highlight w:val="none"/>
              </w:rPr>
              <w:t>，</w:t>
            </w:r>
            <w:r>
              <w:rPr>
                <w:rFonts w:hint="eastAsia"/>
                <w:highlight w:val="none"/>
              </w:rPr>
              <w:t>购买招标文件的费用</w:t>
            </w:r>
            <w:r>
              <w:rPr>
                <w:highlight w:val="none"/>
              </w:rPr>
              <w:t>不退。</w:t>
            </w:r>
          </w:p>
          <w:p w14:paraId="6447E50A">
            <w:pPr>
              <w:shd w:val="clear"/>
              <w:spacing w:line="340" w:lineRule="exact"/>
              <w:ind w:left="-120" w:leftChars="-50" w:right="-120" w:rightChars="-50"/>
              <w:jc w:val="left"/>
              <w:rPr>
                <w:highlight w:val="none"/>
              </w:rPr>
            </w:pPr>
            <w:r>
              <w:rPr>
                <w:highlight w:val="none"/>
              </w:rPr>
              <w:t>2、</w:t>
            </w:r>
            <w:r>
              <w:rPr>
                <w:rFonts w:hint="eastAsia"/>
                <w:highlight w:val="none"/>
                <w:lang w:val="en-US" w:eastAsia="zh-CN"/>
              </w:rPr>
              <w:t>制作资格审查文件（电子版）后，在</w:t>
            </w:r>
            <w:r>
              <w:rPr>
                <w:rFonts w:hint="eastAsia" w:cs="Times New Roman"/>
                <w:kern w:val="2"/>
                <w:szCs w:val="22"/>
                <w:highlight w:val="none"/>
              </w:rPr>
              <w:t>202</w:t>
            </w:r>
            <w:r>
              <w:rPr>
                <w:rFonts w:hint="eastAsia" w:cs="Times New Roman"/>
                <w:kern w:val="2"/>
                <w:szCs w:val="22"/>
                <w:highlight w:val="none"/>
                <w:lang w:val="en-US" w:eastAsia="zh-CN"/>
              </w:rPr>
              <w:t>5</w:t>
            </w:r>
            <w:r>
              <w:rPr>
                <w:rFonts w:hint="eastAsia" w:cs="Times New Roman"/>
                <w:kern w:val="2"/>
                <w:szCs w:val="22"/>
                <w:highlight w:val="none"/>
              </w:rPr>
              <w:t>年</w:t>
            </w:r>
            <w:r>
              <w:rPr>
                <w:rFonts w:hint="eastAsia" w:cs="Times New Roman"/>
                <w:kern w:val="2"/>
                <w:szCs w:val="22"/>
                <w:highlight w:val="none"/>
                <w:lang w:val="en-US" w:eastAsia="zh-CN"/>
              </w:rPr>
              <w:t>7</w:t>
            </w:r>
            <w:r>
              <w:rPr>
                <w:rFonts w:hint="eastAsia" w:cs="Times New Roman"/>
                <w:kern w:val="2"/>
                <w:szCs w:val="22"/>
                <w:highlight w:val="none"/>
              </w:rPr>
              <w:t>月</w:t>
            </w:r>
            <w:r>
              <w:rPr>
                <w:rFonts w:hint="eastAsia" w:cs="Times New Roman"/>
                <w:kern w:val="2"/>
                <w:szCs w:val="22"/>
                <w:highlight w:val="none"/>
                <w:lang w:val="en-US" w:eastAsia="zh-CN"/>
              </w:rPr>
              <w:t>11</w:t>
            </w:r>
            <w:r>
              <w:rPr>
                <w:rFonts w:hint="eastAsia" w:cs="Times New Roman"/>
                <w:kern w:val="2"/>
                <w:szCs w:val="22"/>
                <w:highlight w:val="none"/>
              </w:rPr>
              <w:t>日上午9点</w:t>
            </w:r>
            <w:r>
              <w:rPr>
                <w:rFonts w:hint="eastAsia"/>
                <w:highlight w:val="none"/>
                <w:lang w:eastAsia="zh-CN"/>
              </w:rPr>
              <w:t>，</w:t>
            </w:r>
            <w:r>
              <w:rPr>
                <w:rFonts w:hint="eastAsia"/>
                <w:highlight w:val="none"/>
                <w:lang w:val="en-US" w:eastAsia="zh-CN"/>
              </w:rPr>
              <w:t>上传报名网站</w:t>
            </w:r>
          </w:p>
        </w:tc>
      </w:tr>
      <w:tr w14:paraId="54E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EFD03CA">
            <w:pPr>
              <w:shd w:val="clear"/>
              <w:jc w:val="center"/>
              <w:rPr>
                <w:rFonts w:hint="eastAsia"/>
                <w:highlight w:val="none"/>
              </w:rPr>
            </w:pPr>
            <w:r>
              <w:rPr>
                <w:rFonts w:hint="eastAsia"/>
                <w:highlight w:val="none"/>
              </w:rPr>
              <w:t>3.5.2</w:t>
            </w:r>
          </w:p>
        </w:tc>
        <w:tc>
          <w:tcPr>
            <w:tcW w:w="1660" w:type="dxa"/>
            <w:noWrap w:val="0"/>
            <w:vAlign w:val="center"/>
          </w:tcPr>
          <w:p w14:paraId="32629692">
            <w:pPr>
              <w:shd w:val="clear"/>
              <w:spacing w:line="360" w:lineRule="exact"/>
              <w:jc w:val="center"/>
              <w:rPr>
                <w:highlight w:val="none"/>
              </w:rPr>
            </w:pPr>
            <w:r>
              <w:rPr>
                <w:rFonts w:hint="eastAsia"/>
                <w:highlight w:val="none"/>
              </w:rPr>
              <w:t>近3年财务审计报告</w:t>
            </w:r>
          </w:p>
        </w:tc>
        <w:tc>
          <w:tcPr>
            <w:tcW w:w="7151" w:type="dxa"/>
            <w:gridSpan w:val="2"/>
            <w:noWrap w:val="0"/>
            <w:vAlign w:val="center"/>
          </w:tcPr>
          <w:p w14:paraId="330B62E8">
            <w:pPr>
              <w:shd w:val="clear"/>
              <w:spacing w:line="340" w:lineRule="exact"/>
              <w:rPr>
                <w:highlight w:val="none"/>
              </w:rPr>
            </w:pP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7</w:t>
            </w:r>
            <w:r>
              <w:rPr>
                <w:rFonts w:hint="eastAsia"/>
                <w:highlight w:val="none"/>
              </w:rPr>
              <w:t>月01日至今。</w:t>
            </w:r>
          </w:p>
        </w:tc>
      </w:tr>
      <w:tr w14:paraId="4589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5FD1515A">
            <w:pPr>
              <w:shd w:val="clear"/>
              <w:jc w:val="center"/>
              <w:rPr>
                <w:rFonts w:hint="eastAsia"/>
                <w:highlight w:val="none"/>
              </w:rPr>
            </w:pPr>
            <w:r>
              <w:rPr>
                <w:rFonts w:hint="eastAsia"/>
                <w:highlight w:val="none"/>
              </w:rPr>
              <w:t>3.5.3</w:t>
            </w:r>
          </w:p>
        </w:tc>
        <w:tc>
          <w:tcPr>
            <w:tcW w:w="1660" w:type="dxa"/>
            <w:noWrap w:val="0"/>
            <w:vAlign w:val="center"/>
          </w:tcPr>
          <w:p w14:paraId="55AA4D89">
            <w:pPr>
              <w:shd w:val="clear"/>
              <w:spacing w:line="360" w:lineRule="exact"/>
              <w:jc w:val="center"/>
              <w:rPr>
                <w:highlight w:val="none"/>
              </w:rPr>
            </w:pPr>
            <w:r>
              <w:rPr>
                <w:rFonts w:hint="eastAsia"/>
                <w:highlight w:val="none"/>
              </w:rPr>
              <w:t>近3年完成的类似项目</w:t>
            </w:r>
          </w:p>
        </w:tc>
        <w:tc>
          <w:tcPr>
            <w:tcW w:w="7151" w:type="dxa"/>
            <w:gridSpan w:val="2"/>
            <w:noWrap w:val="0"/>
            <w:vAlign w:val="center"/>
          </w:tcPr>
          <w:p w14:paraId="23F5494C">
            <w:pPr>
              <w:shd w:val="clear"/>
              <w:spacing w:line="340" w:lineRule="exact"/>
              <w:rPr>
                <w:highlight w:val="none"/>
              </w:rPr>
            </w:pP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7</w:t>
            </w:r>
            <w:r>
              <w:rPr>
                <w:rFonts w:hint="eastAsia"/>
                <w:highlight w:val="none"/>
              </w:rPr>
              <w:t>月01日至今。</w:t>
            </w:r>
          </w:p>
        </w:tc>
      </w:tr>
      <w:tr w14:paraId="3AB2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080D5FB0">
            <w:pPr>
              <w:shd w:val="clear"/>
              <w:jc w:val="center"/>
              <w:rPr>
                <w:rFonts w:hint="eastAsia"/>
                <w:highlight w:val="none"/>
              </w:rPr>
            </w:pPr>
            <w:r>
              <w:rPr>
                <w:rFonts w:hint="eastAsia"/>
                <w:highlight w:val="none"/>
              </w:rPr>
              <w:t>3.5.4</w:t>
            </w:r>
          </w:p>
        </w:tc>
        <w:tc>
          <w:tcPr>
            <w:tcW w:w="1660" w:type="dxa"/>
            <w:noWrap w:val="0"/>
            <w:vAlign w:val="center"/>
          </w:tcPr>
          <w:p w14:paraId="2CDBFB22">
            <w:pPr>
              <w:shd w:val="clear"/>
              <w:spacing w:line="360" w:lineRule="exact"/>
              <w:jc w:val="center"/>
              <w:rPr>
                <w:highlight w:val="none"/>
              </w:rPr>
            </w:pPr>
            <w:r>
              <w:rPr>
                <w:rFonts w:hint="eastAsia"/>
                <w:highlight w:val="none"/>
              </w:rPr>
              <w:t>近3年发生的诉讼及仲裁情况的年份要求</w:t>
            </w:r>
          </w:p>
        </w:tc>
        <w:tc>
          <w:tcPr>
            <w:tcW w:w="7151" w:type="dxa"/>
            <w:gridSpan w:val="2"/>
            <w:noWrap w:val="0"/>
            <w:vAlign w:val="center"/>
          </w:tcPr>
          <w:p w14:paraId="41505E32">
            <w:pPr>
              <w:shd w:val="clear"/>
              <w:spacing w:line="340" w:lineRule="exact"/>
              <w:rPr>
                <w:highlight w:val="none"/>
              </w:rPr>
            </w:pP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7</w:t>
            </w:r>
            <w:r>
              <w:rPr>
                <w:rFonts w:hint="eastAsia"/>
                <w:highlight w:val="none"/>
              </w:rPr>
              <w:t>月01日至今。</w:t>
            </w:r>
          </w:p>
        </w:tc>
      </w:tr>
      <w:tr w14:paraId="7606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noWrap w:val="0"/>
            <w:vAlign w:val="center"/>
          </w:tcPr>
          <w:p w14:paraId="1F03949A">
            <w:pPr>
              <w:shd w:val="clear"/>
              <w:jc w:val="center"/>
              <w:rPr>
                <w:highlight w:val="none"/>
              </w:rPr>
            </w:pPr>
            <w:r>
              <w:rPr>
                <w:rFonts w:hint="eastAsia"/>
                <w:highlight w:val="none"/>
              </w:rPr>
              <w:t>3.7.1</w:t>
            </w:r>
          </w:p>
        </w:tc>
        <w:tc>
          <w:tcPr>
            <w:tcW w:w="1660" w:type="dxa"/>
            <w:noWrap w:val="0"/>
            <w:vAlign w:val="center"/>
          </w:tcPr>
          <w:p w14:paraId="1D1D79B4">
            <w:pPr>
              <w:shd w:val="clear"/>
              <w:spacing w:line="360" w:lineRule="exact"/>
              <w:jc w:val="center"/>
              <w:rPr>
                <w:highlight w:val="none"/>
              </w:rPr>
            </w:pPr>
            <w:r>
              <w:rPr>
                <w:rFonts w:hint="eastAsia"/>
                <w:highlight w:val="none"/>
              </w:rPr>
              <w:t>签字或盖章要求</w:t>
            </w:r>
          </w:p>
        </w:tc>
        <w:tc>
          <w:tcPr>
            <w:tcW w:w="7151" w:type="dxa"/>
            <w:gridSpan w:val="2"/>
            <w:noWrap w:val="0"/>
            <w:vAlign w:val="center"/>
          </w:tcPr>
          <w:p w14:paraId="59BA3E40">
            <w:pPr>
              <w:shd w:val="clear"/>
              <w:spacing w:line="340" w:lineRule="exact"/>
              <w:rPr>
                <w:highlight w:val="none"/>
              </w:rPr>
            </w:pPr>
            <w:r>
              <w:rPr>
                <w:rFonts w:hint="eastAsia"/>
                <w:highlight w:val="none"/>
              </w:rPr>
              <w:t>投标文件应按第五章“投标文件格式及内容”要求进行签字或盖章，否则其投标文件按照无效处理。</w:t>
            </w:r>
          </w:p>
        </w:tc>
      </w:tr>
      <w:tr w14:paraId="69C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noWrap w:val="0"/>
            <w:vAlign w:val="center"/>
          </w:tcPr>
          <w:p w14:paraId="690C55EC">
            <w:pPr>
              <w:shd w:val="clear"/>
              <w:jc w:val="center"/>
              <w:rPr>
                <w:highlight w:val="none"/>
              </w:rPr>
            </w:pPr>
            <w:r>
              <w:rPr>
                <w:rFonts w:hint="eastAsia"/>
                <w:highlight w:val="none"/>
              </w:rPr>
              <w:t>3.7.2</w:t>
            </w:r>
          </w:p>
        </w:tc>
        <w:tc>
          <w:tcPr>
            <w:tcW w:w="1660" w:type="dxa"/>
            <w:noWrap w:val="0"/>
            <w:vAlign w:val="center"/>
          </w:tcPr>
          <w:p w14:paraId="14FCBAC2">
            <w:pPr>
              <w:shd w:val="clear"/>
              <w:spacing w:line="360" w:lineRule="exact"/>
              <w:jc w:val="center"/>
              <w:rPr>
                <w:highlight w:val="none"/>
              </w:rPr>
            </w:pPr>
            <w:r>
              <w:rPr>
                <w:rFonts w:hint="eastAsia"/>
                <w:highlight w:val="none"/>
              </w:rPr>
              <w:t>投标文件份数</w:t>
            </w:r>
            <w:r>
              <w:rPr>
                <w:rFonts w:hint="eastAsia"/>
                <w:highlight w:val="none"/>
                <w:lang w:eastAsia="zh-CN"/>
              </w:rPr>
              <w:t>（</w:t>
            </w:r>
            <w:r>
              <w:rPr>
                <w:rFonts w:hint="eastAsia"/>
                <w:highlight w:val="none"/>
                <w:lang w:val="en-US" w:eastAsia="zh-CN"/>
              </w:rPr>
              <w:t>中标单位提供纸质版投标文件）</w:t>
            </w:r>
          </w:p>
        </w:tc>
        <w:tc>
          <w:tcPr>
            <w:tcW w:w="7151" w:type="dxa"/>
            <w:gridSpan w:val="2"/>
            <w:noWrap w:val="0"/>
            <w:vAlign w:val="center"/>
          </w:tcPr>
          <w:p w14:paraId="4DA44384">
            <w:pPr>
              <w:shd w:val="clear"/>
              <w:spacing w:line="340" w:lineRule="exact"/>
              <w:rPr>
                <w:b/>
                <w:highlight w:val="none"/>
              </w:rPr>
            </w:pPr>
            <w:r>
              <w:rPr>
                <w:rFonts w:hint="eastAsia"/>
                <w:highlight w:val="none"/>
              </w:rPr>
              <w:t>中标人提供</w:t>
            </w:r>
            <w:r>
              <w:rPr>
                <w:rFonts w:hint="eastAsia"/>
                <w:highlight w:val="none"/>
                <w:lang w:val="en-US" w:eastAsia="zh-CN"/>
              </w:rPr>
              <w:t>纸质投标文件</w:t>
            </w:r>
            <w:r>
              <w:rPr>
                <w:rFonts w:hint="eastAsia"/>
                <w:highlight w:val="none"/>
              </w:rPr>
              <w:t>正本</w:t>
            </w:r>
            <w:r>
              <w:rPr>
                <w:rFonts w:hint="eastAsia"/>
                <w:highlight w:val="none"/>
                <w:lang w:eastAsia="zh-CN"/>
              </w:rPr>
              <w:t>、</w:t>
            </w:r>
            <w:r>
              <w:rPr>
                <w:rFonts w:hint="eastAsia"/>
                <w:highlight w:val="none"/>
              </w:rPr>
              <w:t>副本</w:t>
            </w:r>
            <w:r>
              <w:rPr>
                <w:rFonts w:hint="eastAsia"/>
                <w:highlight w:val="none"/>
                <w:lang w:val="en-US" w:eastAsia="zh-CN"/>
              </w:rPr>
              <w:t>各一</w:t>
            </w:r>
            <w:r>
              <w:rPr>
                <w:rFonts w:hint="eastAsia"/>
                <w:highlight w:val="none"/>
              </w:rPr>
              <w:t>份。</w:t>
            </w:r>
          </w:p>
        </w:tc>
      </w:tr>
      <w:tr w14:paraId="28A0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58" w:type="dxa"/>
            <w:noWrap w:val="0"/>
            <w:vAlign w:val="center"/>
          </w:tcPr>
          <w:p w14:paraId="35861297">
            <w:pPr>
              <w:shd w:val="clear"/>
              <w:jc w:val="center"/>
              <w:rPr>
                <w:highlight w:val="none"/>
              </w:rPr>
            </w:pPr>
            <w:r>
              <w:rPr>
                <w:rFonts w:hint="eastAsia"/>
                <w:highlight w:val="none"/>
              </w:rPr>
              <w:t>3.7.3</w:t>
            </w:r>
          </w:p>
        </w:tc>
        <w:tc>
          <w:tcPr>
            <w:tcW w:w="1660" w:type="dxa"/>
            <w:noWrap w:val="0"/>
            <w:vAlign w:val="center"/>
          </w:tcPr>
          <w:p w14:paraId="6718C520">
            <w:pPr>
              <w:shd w:val="clear"/>
              <w:spacing w:line="360" w:lineRule="exact"/>
              <w:ind w:left="120" w:leftChars="-50" w:right="-120" w:rightChars="-50" w:hanging="240" w:hangingChars="100"/>
              <w:jc w:val="center"/>
              <w:rPr>
                <w:highlight w:val="none"/>
              </w:rPr>
            </w:pPr>
            <w:r>
              <w:rPr>
                <w:rFonts w:hint="eastAsia"/>
                <w:highlight w:val="none"/>
              </w:rPr>
              <w:t>纸质投标文件装订要求</w:t>
            </w:r>
            <w:r>
              <w:rPr>
                <w:rFonts w:hint="eastAsia"/>
                <w:highlight w:val="none"/>
                <w:lang w:eastAsia="zh-CN"/>
              </w:rPr>
              <w:t>（</w:t>
            </w:r>
            <w:r>
              <w:rPr>
                <w:rFonts w:hint="eastAsia"/>
                <w:highlight w:val="none"/>
                <w:lang w:val="en-US" w:eastAsia="zh-CN"/>
              </w:rPr>
              <w:t>中标单位提供纸质版投标文件）</w:t>
            </w:r>
          </w:p>
        </w:tc>
        <w:tc>
          <w:tcPr>
            <w:tcW w:w="7151" w:type="dxa"/>
            <w:gridSpan w:val="2"/>
            <w:noWrap w:val="0"/>
            <w:vAlign w:val="center"/>
          </w:tcPr>
          <w:p w14:paraId="0232FDC8">
            <w:pPr>
              <w:shd w:val="clear"/>
              <w:spacing w:line="340" w:lineRule="exact"/>
              <w:jc w:val="left"/>
              <w:rPr>
                <w:highlight w:val="none"/>
              </w:rPr>
            </w:pPr>
            <w:r>
              <w:rPr>
                <w:rFonts w:hint="eastAsia"/>
                <w:highlight w:val="none"/>
              </w:rPr>
              <w:t>1、投标文件的正本与副本应分别装订成册。</w:t>
            </w:r>
          </w:p>
          <w:p w14:paraId="55E39CA8">
            <w:pPr>
              <w:shd w:val="clear"/>
              <w:spacing w:line="340" w:lineRule="exact"/>
              <w:jc w:val="left"/>
              <w:rPr>
                <w:highlight w:val="none"/>
              </w:rPr>
            </w:pPr>
            <w:r>
              <w:rPr>
                <w:rFonts w:hint="eastAsia"/>
                <w:highlight w:val="none"/>
              </w:rPr>
              <w:t>2、投标文件每册均须采用胶装方式在左侧装订，装订须牢固不易拆散和换页，不得采用活页方式装订。</w:t>
            </w:r>
          </w:p>
          <w:p w14:paraId="4E9B4D88">
            <w:pPr>
              <w:shd w:val="clear"/>
              <w:spacing w:line="340" w:lineRule="exact"/>
              <w:rPr>
                <w:rFonts w:hint="eastAsia"/>
                <w:highlight w:val="none"/>
              </w:rPr>
            </w:pPr>
            <w:r>
              <w:rPr>
                <w:rFonts w:hint="eastAsia"/>
                <w:highlight w:val="none"/>
              </w:rPr>
              <w:t>3、投标文件正本和副本的封面上应清楚地标记“正本”或“副本”的字样；正本和副本如有不一致之处，以正本为准。</w:t>
            </w:r>
          </w:p>
          <w:p w14:paraId="3F85BA66">
            <w:pPr>
              <w:pStyle w:val="2"/>
              <w:shd w:val="clear"/>
              <w:ind w:left="0" w:leftChars="0" w:right="-120" w:rightChars="-50" w:firstLine="0" w:firstLineChars="0"/>
              <w:rPr>
                <w:highlight w:val="none"/>
              </w:rPr>
            </w:pPr>
            <w:r>
              <w:rPr>
                <w:rFonts w:hint="eastAsia"/>
                <w:bCs/>
                <w:highlight w:val="none"/>
                <w:lang w:val="en-US" w:eastAsia="zh-CN"/>
              </w:rPr>
              <w:t>4、投标单位</w:t>
            </w:r>
            <w:r>
              <w:rPr>
                <w:rFonts w:hint="eastAsia"/>
                <w:highlight w:val="none"/>
                <w:lang w:val="en-US" w:eastAsia="zh-CN"/>
              </w:rPr>
              <w:t>收到中标通知书后3日内，</w:t>
            </w:r>
            <w:r>
              <w:rPr>
                <w:rFonts w:hint="eastAsia"/>
                <w:bCs/>
                <w:highlight w:val="none"/>
                <w:lang w:val="en-US" w:eastAsia="zh-CN"/>
              </w:rPr>
              <w:t>需将</w:t>
            </w:r>
            <w:r>
              <w:rPr>
                <w:rFonts w:hint="eastAsia"/>
                <w:highlight w:val="none"/>
              </w:rPr>
              <w:t>纸质投标文件</w:t>
            </w:r>
            <w:r>
              <w:rPr>
                <w:rFonts w:hint="eastAsia"/>
                <w:highlight w:val="none"/>
                <w:lang w:val="en-US" w:eastAsia="zh-CN"/>
              </w:rPr>
              <w:t>邮寄到山东省济南市官庄街道青野村东，山东济钢环保新材料有限公司，收件人：史工，收件人手机号：18615514537</w:t>
            </w:r>
          </w:p>
        </w:tc>
      </w:tr>
      <w:tr w14:paraId="4336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2184E0A9">
            <w:pPr>
              <w:shd w:val="clear"/>
              <w:jc w:val="center"/>
              <w:rPr>
                <w:highlight w:val="none"/>
              </w:rPr>
            </w:pPr>
            <w:r>
              <w:rPr>
                <w:rFonts w:hint="eastAsia"/>
                <w:highlight w:val="none"/>
              </w:rPr>
              <w:t>3.7.4</w:t>
            </w:r>
          </w:p>
        </w:tc>
        <w:tc>
          <w:tcPr>
            <w:tcW w:w="1660" w:type="dxa"/>
            <w:noWrap w:val="0"/>
            <w:vAlign w:val="center"/>
          </w:tcPr>
          <w:p w14:paraId="72406B1B">
            <w:pPr>
              <w:shd w:val="clear"/>
              <w:spacing w:line="360" w:lineRule="exact"/>
              <w:ind w:left="240" w:hanging="240" w:hangingChars="100"/>
              <w:jc w:val="center"/>
              <w:rPr>
                <w:highlight w:val="none"/>
              </w:rPr>
            </w:pPr>
            <w:r>
              <w:rPr>
                <w:rFonts w:hint="eastAsia"/>
                <w:highlight w:val="none"/>
              </w:rPr>
              <w:t>电子文档</w:t>
            </w:r>
          </w:p>
        </w:tc>
        <w:tc>
          <w:tcPr>
            <w:tcW w:w="7151" w:type="dxa"/>
            <w:gridSpan w:val="2"/>
            <w:noWrap w:val="0"/>
            <w:vAlign w:val="center"/>
          </w:tcPr>
          <w:p w14:paraId="4FC25ED9">
            <w:pPr>
              <w:shd w:val="clear"/>
              <w:spacing w:line="340" w:lineRule="exact"/>
              <w:rPr>
                <w:bCs/>
                <w:highlight w:val="none"/>
              </w:rPr>
            </w:pPr>
            <w:r>
              <w:rPr>
                <w:rFonts w:hint="eastAsia"/>
                <w:bCs/>
                <w:highlight w:val="none"/>
              </w:rPr>
              <w:t>详见招标须知正文3.7.6条款</w:t>
            </w:r>
          </w:p>
        </w:tc>
      </w:tr>
      <w:tr w14:paraId="221F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2B0680A5">
            <w:pPr>
              <w:shd w:val="clear"/>
              <w:spacing w:line="442" w:lineRule="exact"/>
              <w:jc w:val="center"/>
              <w:rPr>
                <w:rFonts w:ascii="仿宋" w:hAnsi="仿宋" w:eastAsia="仿宋" w:cs="MingLiU"/>
                <w:highlight w:val="none"/>
              </w:rPr>
            </w:pPr>
            <w:r>
              <w:rPr>
                <w:rFonts w:ascii="仿宋" w:hAnsi="仿宋" w:eastAsia="仿宋" w:cs="MingLiU"/>
                <w:highlight w:val="none"/>
              </w:rPr>
              <w:t>4.2.1</w:t>
            </w:r>
          </w:p>
        </w:tc>
        <w:tc>
          <w:tcPr>
            <w:tcW w:w="1660" w:type="dxa"/>
            <w:noWrap w:val="0"/>
            <w:vAlign w:val="center"/>
          </w:tcPr>
          <w:p w14:paraId="0ADD591C">
            <w:pPr>
              <w:shd w:val="clear"/>
              <w:spacing w:line="360" w:lineRule="exact"/>
              <w:ind w:left="240" w:hanging="240" w:hangingChars="100"/>
              <w:rPr>
                <w:highlight w:val="none"/>
              </w:rPr>
            </w:pPr>
            <w:r>
              <w:rPr>
                <w:highlight w:val="none"/>
              </w:rPr>
              <w:t>递交</w:t>
            </w:r>
            <w:r>
              <w:rPr>
                <w:rFonts w:hint="eastAsia"/>
                <w:highlight w:val="none"/>
              </w:rPr>
              <w:t>投标</w:t>
            </w:r>
            <w:r>
              <w:rPr>
                <w:highlight w:val="none"/>
              </w:rPr>
              <w:t>文件截止时间</w:t>
            </w:r>
          </w:p>
        </w:tc>
        <w:tc>
          <w:tcPr>
            <w:tcW w:w="7151" w:type="dxa"/>
            <w:gridSpan w:val="2"/>
            <w:noWrap w:val="0"/>
            <w:vAlign w:val="center"/>
          </w:tcPr>
          <w:p w14:paraId="2A2D3AB3">
            <w:pPr>
              <w:shd w:val="clear"/>
              <w:spacing w:line="360" w:lineRule="exact"/>
              <w:ind w:left="240" w:hanging="240" w:hangingChars="100"/>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11</w:t>
            </w:r>
            <w:r>
              <w:rPr>
                <w:rFonts w:hint="eastAsia"/>
                <w:highlight w:val="none"/>
              </w:rPr>
              <w:t>日上午9点</w:t>
            </w:r>
          </w:p>
        </w:tc>
      </w:tr>
      <w:tr w14:paraId="0F7E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7F151017">
            <w:pPr>
              <w:shd w:val="clear"/>
              <w:spacing w:line="442" w:lineRule="exact"/>
              <w:jc w:val="center"/>
              <w:rPr>
                <w:rFonts w:ascii="仿宋" w:hAnsi="仿宋" w:eastAsia="仿宋" w:cs="MingLiU"/>
                <w:highlight w:val="none"/>
              </w:rPr>
            </w:pPr>
            <w:r>
              <w:rPr>
                <w:rFonts w:ascii="仿宋" w:hAnsi="仿宋" w:eastAsia="仿宋" w:cs="MingLiU"/>
                <w:highlight w:val="none"/>
              </w:rPr>
              <w:t xml:space="preserve">4.2.2 </w:t>
            </w:r>
          </w:p>
        </w:tc>
        <w:tc>
          <w:tcPr>
            <w:tcW w:w="1660" w:type="dxa"/>
            <w:noWrap w:val="0"/>
            <w:vAlign w:val="center"/>
          </w:tcPr>
          <w:p w14:paraId="6DF27376">
            <w:pPr>
              <w:shd w:val="clear"/>
              <w:spacing w:line="360" w:lineRule="exact"/>
              <w:ind w:left="240" w:hanging="240" w:hangingChars="100"/>
              <w:jc w:val="center"/>
              <w:rPr>
                <w:highlight w:val="none"/>
              </w:rPr>
            </w:pPr>
            <w:r>
              <w:rPr>
                <w:highlight w:val="none"/>
              </w:rPr>
              <w:t>递交</w:t>
            </w:r>
            <w:r>
              <w:rPr>
                <w:rFonts w:hint="eastAsia"/>
                <w:highlight w:val="none"/>
              </w:rPr>
              <w:t>投标</w:t>
            </w:r>
            <w:r>
              <w:rPr>
                <w:highlight w:val="none"/>
              </w:rPr>
              <w:t>文件地点</w:t>
            </w:r>
          </w:p>
        </w:tc>
        <w:tc>
          <w:tcPr>
            <w:tcW w:w="7151" w:type="dxa"/>
            <w:gridSpan w:val="2"/>
            <w:noWrap w:val="0"/>
            <w:vAlign w:val="center"/>
          </w:tcPr>
          <w:p w14:paraId="0734EAC3">
            <w:pPr>
              <w:shd w:val="clear"/>
              <w:spacing w:line="360" w:lineRule="exact"/>
              <w:ind w:left="240" w:hanging="240" w:hangingChars="100"/>
              <w:rPr>
                <w:highlight w:val="none"/>
              </w:rPr>
            </w:pPr>
            <w:r>
              <w:rPr>
                <w:rFonts w:hint="eastAsia"/>
                <w:highlight w:val="none"/>
              </w:rPr>
              <w:t>上传至济钢集团有限公司阳光购销平台（网址：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w:t>
            </w:r>
          </w:p>
        </w:tc>
      </w:tr>
      <w:tr w14:paraId="0245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1EB70856">
            <w:pPr>
              <w:shd w:val="clear"/>
              <w:jc w:val="center"/>
              <w:rPr>
                <w:color w:val="000000"/>
                <w:highlight w:val="none"/>
              </w:rPr>
            </w:pPr>
            <w:r>
              <w:rPr>
                <w:rFonts w:hint="eastAsia"/>
                <w:color w:val="000000"/>
                <w:highlight w:val="none"/>
              </w:rPr>
              <w:t>4.2.3</w:t>
            </w:r>
          </w:p>
        </w:tc>
        <w:tc>
          <w:tcPr>
            <w:tcW w:w="1660" w:type="dxa"/>
            <w:noWrap w:val="0"/>
            <w:vAlign w:val="center"/>
          </w:tcPr>
          <w:p w14:paraId="55FC8331">
            <w:pPr>
              <w:shd w:val="clear"/>
              <w:spacing w:line="360" w:lineRule="exact"/>
              <w:ind w:left="240" w:hanging="240" w:hangingChars="100"/>
              <w:jc w:val="center"/>
              <w:rPr>
                <w:highlight w:val="none"/>
              </w:rPr>
            </w:pPr>
            <w:r>
              <w:rPr>
                <w:rFonts w:hint="eastAsia"/>
                <w:highlight w:val="none"/>
              </w:rPr>
              <w:t>投标</w:t>
            </w:r>
            <w:r>
              <w:rPr>
                <w:highlight w:val="none"/>
              </w:rPr>
              <w:t>文件是否退还</w:t>
            </w:r>
          </w:p>
        </w:tc>
        <w:tc>
          <w:tcPr>
            <w:tcW w:w="7151" w:type="dxa"/>
            <w:gridSpan w:val="2"/>
            <w:noWrap w:val="0"/>
            <w:vAlign w:val="center"/>
          </w:tcPr>
          <w:p w14:paraId="41A3F6A4">
            <w:pPr>
              <w:shd w:val="clear"/>
              <w:spacing w:line="340" w:lineRule="exact"/>
              <w:ind w:left="240" w:hanging="240" w:hangingChars="100"/>
              <w:rPr>
                <w:highlight w:val="none"/>
              </w:rPr>
            </w:pPr>
            <w:r>
              <w:rPr>
                <w:rFonts w:hint="eastAsia"/>
                <w:highlight w:val="none"/>
              </w:rPr>
              <w:t>否</w:t>
            </w:r>
          </w:p>
        </w:tc>
      </w:tr>
      <w:tr w14:paraId="4118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noWrap w:val="0"/>
            <w:vAlign w:val="center"/>
          </w:tcPr>
          <w:p w14:paraId="2DA97A77">
            <w:pPr>
              <w:shd w:val="clear"/>
              <w:jc w:val="center"/>
              <w:rPr>
                <w:color w:val="000000"/>
                <w:highlight w:val="none"/>
              </w:rPr>
            </w:pPr>
            <w:r>
              <w:rPr>
                <w:rFonts w:hint="eastAsia"/>
                <w:color w:val="000000"/>
                <w:highlight w:val="none"/>
              </w:rPr>
              <w:t>5.1.1</w:t>
            </w:r>
          </w:p>
        </w:tc>
        <w:tc>
          <w:tcPr>
            <w:tcW w:w="1660" w:type="dxa"/>
            <w:noWrap w:val="0"/>
            <w:vAlign w:val="center"/>
          </w:tcPr>
          <w:p w14:paraId="2B29D523">
            <w:pPr>
              <w:shd w:val="clear"/>
              <w:spacing w:line="360" w:lineRule="exact"/>
              <w:jc w:val="center"/>
              <w:rPr>
                <w:rFonts w:hint="eastAsia"/>
                <w:color w:val="000000"/>
                <w:highlight w:val="none"/>
              </w:rPr>
            </w:pPr>
            <w:r>
              <w:rPr>
                <w:rFonts w:hint="eastAsia"/>
                <w:color w:val="000000"/>
                <w:highlight w:val="none"/>
              </w:rPr>
              <w:t>开标时间和</w:t>
            </w:r>
          </w:p>
          <w:p w14:paraId="65F9EA84">
            <w:pPr>
              <w:shd w:val="clear"/>
              <w:spacing w:line="360" w:lineRule="exact"/>
              <w:jc w:val="center"/>
              <w:rPr>
                <w:rFonts w:hint="eastAsia"/>
                <w:color w:val="000000"/>
                <w:highlight w:val="none"/>
              </w:rPr>
            </w:pPr>
            <w:r>
              <w:rPr>
                <w:rFonts w:hint="eastAsia"/>
                <w:color w:val="000000"/>
                <w:highlight w:val="none"/>
              </w:rPr>
              <w:t>方式</w:t>
            </w:r>
          </w:p>
        </w:tc>
        <w:tc>
          <w:tcPr>
            <w:tcW w:w="7151" w:type="dxa"/>
            <w:gridSpan w:val="2"/>
            <w:noWrap w:val="0"/>
            <w:vAlign w:val="center"/>
          </w:tcPr>
          <w:p w14:paraId="744C0899">
            <w:pPr>
              <w:shd w:val="clear"/>
              <w:spacing w:line="340" w:lineRule="exact"/>
              <w:rPr>
                <w:color w:val="000000"/>
                <w:highlight w:val="none"/>
              </w:rPr>
            </w:pPr>
            <w:r>
              <w:rPr>
                <w:rFonts w:hint="eastAsia"/>
                <w:color w:val="000000"/>
                <w:highlight w:val="none"/>
              </w:rPr>
              <w:t>开标时间：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11</w:t>
            </w:r>
            <w:bookmarkStart w:id="205" w:name="_GoBack"/>
            <w:bookmarkEnd w:id="205"/>
            <w:r>
              <w:rPr>
                <w:rFonts w:hint="eastAsia"/>
                <w:highlight w:val="none"/>
              </w:rPr>
              <w:t>日上午9点</w:t>
            </w:r>
          </w:p>
          <w:p w14:paraId="4979362D">
            <w:pPr>
              <w:shd w:val="clear"/>
              <w:spacing w:line="340" w:lineRule="exact"/>
              <w:rPr>
                <w:rFonts w:hint="default" w:eastAsia="宋体"/>
                <w:color w:val="000000"/>
                <w:highlight w:val="none"/>
                <w:lang w:val="en-US" w:eastAsia="zh-CN"/>
              </w:rPr>
            </w:pPr>
            <w:r>
              <w:rPr>
                <w:rFonts w:hint="eastAsia"/>
                <w:color w:val="000000"/>
                <w:highlight w:val="none"/>
              </w:rPr>
              <w:t>开标方式：</w:t>
            </w:r>
            <w:r>
              <w:rPr>
                <w:rFonts w:hint="eastAsia"/>
                <w:color w:val="000000"/>
                <w:highlight w:val="none"/>
                <w:lang w:val="en-US" w:eastAsia="zh-CN"/>
              </w:rPr>
              <w:t>网上开标</w:t>
            </w:r>
          </w:p>
        </w:tc>
      </w:tr>
      <w:tr w14:paraId="050B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noWrap w:val="0"/>
            <w:vAlign w:val="center"/>
          </w:tcPr>
          <w:p w14:paraId="6AB13760">
            <w:pPr>
              <w:shd w:val="clear"/>
              <w:jc w:val="center"/>
              <w:rPr>
                <w:highlight w:val="none"/>
              </w:rPr>
            </w:pPr>
            <w:r>
              <w:rPr>
                <w:rFonts w:hint="eastAsia"/>
                <w:highlight w:val="none"/>
              </w:rPr>
              <w:t>6.3</w:t>
            </w:r>
          </w:p>
        </w:tc>
        <w:tc>
          <w:tcPr>
            <w:tcW w:w="1660" w:type="dxa"/>
            <w:noWrap w:val="0"/>
            <w:vAlign w:val="center"/>
          </w:tcPr>
          <w:p w14:paraId="561FD34B">
            <w:pPr>
              <w:shd w:val="clear"/>
              <w:spacing w:line="360" w:lineRule="exact"/>
              <w:jc w:val="center"/>
              <w:rPr>
                <w:highlight w:val="none"/>
              </w:rPr>
            </w:pPr>
            <w:r>
              <w:rPr>
                <w:rFonts w:hint="eastAsia"/>
                <w:highlight w:val="none"/>
              </w:rPr>
              <w:t>评标方法</w:t>
            </w:r>
          </w:p>
        </w:tc>
        <w:tc>
          <w:tcPr>
            <w:tcW w:w="7151" w:type="dxa"/>
            <w:gridSpan w:val="2"/>
            <w:noWrap w:val="0"/>
            <w:vAlign w:val="center"/>
          </w:tcPr>
          <w:p w14:paraId="5F900514">
            <w:pPr>
              <w:shd w:val="clear"/>
              <w:spacing w:line="340" w:lineRule="exact"/>
              <w:rPr>
                <w:bCs/>
                <w:highlight w:val="none"/>
              </w:rPr>
            </w:pPr>
            <w:r>
              <w:rPr>
                <w:rFonts w:hint="eastAsia"/>
                <w:bCs/>
                <w:highlight w:val="none"/>
              </w:rPr>
              <w:t>综合评标法</w:t>
            </w:r>
          </w:p>
        </w:tc>
      </w:tr>
      <w:tr w14:paraId="1DA4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noWrap w:val="0"/>
            <w:vAlign w:val="center"/>
          </w:tcPr>
          <w:p w14:paraId="7C43EAB8">
            <w:pPr>
              <w:shd w:val="clear"/>
              <w:jc w:val="center"/>
              <w:rPr>
                <w:rFonts w:hint="eastAsia"/>
                <w:highlight w:val="none"/>
              </w:rPr>
            </w:pPr>
            <w:r>
              <w:rPr>
                <w:rFonts w:hint="eastAsia"/>
                <w:highlight w:val="none"/>
              </w:rPr>
              <w:t>7.5</w:t>
            </w:r>
          </w:p>
        </w:tc>
        <w:tc>
          <w:tcPr>
            <w:tcW w:w="1660" w:type="dxa"/>
            <w:noWrap w:val="0"/>
            <w:vAlign w:val="center"/>
          </w:tcPr>
          <w:p w14:paraId="7D6C92A2">
            <w:pPr>
              <w:shd w:val="clear"/>
              <w:spacing w:line="360" w:lineRule="exact"/>
              <w:jc w:val="center"/>
              <w:rPr>
                <w:highlight w:val="none"/>
              </w:rPr>
            </w:pPr>
            <w:r>
              <w:rPr>
                <w:rFonts w:hint="eastAsia"/>
                <w:highlight w:val="none"/>
              </w:rPr>
              <w:t>履约</w:t>
            </w:r>
            <w:r>
              <w:rPr>
                <w:rFonts w:hint="eastAsia"/>
                <w:bCs/>
                <w:highlight w:val="none"/>
              </w:rPr>
              <w:t>保证金</w:t>
            </w:r>
          </w:p>
        </w:tc>
        <w:tc>
          <w:tcPr>
            <w:tcW w:w="7151" w:type="dxa"/>
            <w:gridSpan w:val="2"/>
            <w:noWrap w:val="0"/>
            <w:vAlign w:val="center"/>
          </w:tcPr>
          <w:p w14:paraId="66F8F88C">
            <w:pPr>
              <w:shd w:val="clear"/>
              <w:spacing w:line="340" w:lineRule="exact"/>
              <w:rPr>
                <w:rFonts w:hint="eastAsia" w:eastAsia="宋体"/>
                <w:color w:val="FF0000"/>
                <w:highlight w:val="none"/>
                <w:lang w:eastAsia="zh-CN"/>
              </w:rPr>
            </w:pPr>
            <w:r>
              <w:rPr>
                <w:rFonts w:hint="eastAsia"/>
                <w:bCs/>
                <w:highlight w:val="none"/>
                <w:lang w:val="en-US" w:eastAsia="zh-CN"/>
              </w:rPr>
              <w:t>无</w:t>
            </w:r>
          </w:p>
        </w:tc>
      </w:tr>
      <w:tr w14:paraId="5DE3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jc w:val="center"/>
        </w:trPr>
        <w:tc>
          <w:tcPr>
            <w:tcW w:w="958" w:type="dxa"/>
            <w:noWrap w:val="0"/>
            <w:vAlign w:val="center"/>
          </w:tcPr>
          <w:p w14:paraId="6C8CE907">
            <w:pPr>
              <w:shd w:val="clear"/>
              <w:jc w:val="center"/>
              <w:rPr>
                <w:highlight w:val="none"/>
              </w:rPr>
            </w:pPr>
            <w:r>
              <w:rPr>
                <w:rFonts w:hint="eastAsia"/>
                <w:highlight w:val="none"/>
              </w:rPr>
              <w:t>8.1</w:t>
            </w:r>
          </w:p>
        </w:tc>
        <w:tc>
          <w:tcPr>
            <w:tcW w:w="1660" w:type="dxa"/>
            <w:noWrap w:val="0"/>
            <w:vAlign w:val="center"/>
          </w:tcPr>
          <w:p w14:paraId="73D3E312">
            <w:pPr>
              <w:shd w:val="clear"/>
              <w:spacing w:line="360" w:lineRule="exact"/>
              <w:jc w:val="center"/>
              <w:rPr>
                <w:rFonts w:hint="eastAsia"/>
                <w:highlight w:val="none"/>
              </w:rPr>
            </w:pPr>
            <w:r>
              <w:rPr>
                <w:rFonts w:hint="eastAsia"/>
                <w:highlight w:val="none"/>
              </w:rPr>
              <w:t>重新招标</w:t>
            </w:r>
          </w:p>
        </w:tc>
        <w:tc>
          <w:tcPr>
            <w:tcW w:w="7138" w:type="dxa"/>
            <w:noWrap w:val="0"/>
            <w:vAlign w:val="center"/>
          </w:tcPr>
          <w:p w14:paraId="47FB65C5">
            <w:pPr>
              <w:shd w:val="clear"/>
              <w:spacing w:line="340" w:lineRule="exact"/>
              <w:rPr>
                <w:rFonts w:hint="eastAsia" w:cs="仿宋"/>
                <w:highlight w:val="none"/>
              </w:rPr>
            </w:pPr>
            <w:r>
              <w:rPr>
                <w:rFonts w:hint="eastAsia" w:cs="仿宋"/>
                <w:highlight w:val="none"/>
              </w:rPr>
              <w:t>有下列情形之一的，招标人将重新招标</w:t>
            </w:r>
          </w:p>
          <w:p w14:paraId="7DAAA237">
            <w:pPr>
              <w:shd w:val="clear"/>
              <w:spacing w:line="340" w:lineRule="exact"/>
              <w:rPr>
                <w:rFonts w:hint="eastAsia" w:cs="仿宋"/>
                <w:highlight w:val="none"/>
              </w:rPr>
            </w:pPr>
            <w:r>
              <w:rPr>
                <w:rFonts w:hint="eastAsia" w:cs="仿宋"/>
                <w:highlight w:val="none"/>
              </w:rPr>
              <w:t>1.截至到</w:t>
            </w:r>
            <w:r>
              <w:rPr>
                <w:rFonts w:hint="eastAsia"/>
                <w:highlight w:val="none"/>
              </w:rPr>
              <w:t>招标开始时间</w:t>
            </w:r>
            <w:r>
              <w:rPr>
                <w:rFonts w:hint="eastAsia" w:cs="仿宋"/>
                <w:highlight w:val="none"/>
              </w:rPr>
              <w:t>，提交投标文件的投标人少于3个的；</w:t>
            </w:r>
          </w:p>
          <w:p w14:paraId="17FA7695">
            <w:pPr>
              <w:shd w:val="clear"/>
              <w:spacing w:line="340" w:lineRule="exact"/>
              <w:rPr>
                <w:rFonts w:cs="仿宋"/>
                <w:highlight w:val="none"/>
              </w:rPr>
            </w:pPr>
            <w:r>
              <w:rPr>
                <w:rFonts w:hint="eastAsia" w:cs="仿宋"/>
                <w:highlight w:val="none"/>
              </w:rPr>
              <w:t>2.经评审委员会评审，否决部分投标人的投标文件后少于3个，缺乏竞争性的；</w:t>
            </w:r>
          </w:p>
          <w:p w14:paraId="3D8449BB">
            <w:pPr>
              <w:shd w:val="clear"/>
              <w:spacing w:line="340" w:lineRule="exact"/>
              <w:rPr>
                <w:highlight w:val="none"/>
              </w:rPr>
            </w:pPr>
            <w:r>
              <w:rPr>
                <w:rFonts w:hint="eastAsia" w:cs="仿宋"/>
                <w:highlight w:val="none"/>
              </w:rPr>
              <w:t>3.经评标委员会评标否决所有投标文件的。</w:t>
            </w:r>
          </w:p>
        </w:tc>
      </w:tr>
      <w:tr w14:paraId="0E85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32813FCA">
            <w:pPr>
              <w:shd w:val="clear"/>
              <w:jc w:val="center"/>
              <w:rPr>
                <w:highlight w:val="none"/>
              </w:rPr>
            </w:pPr>
            <w:r>
              <w:rPr>
                <w:rFonts w:hint="eastAsia"/>
                <w:highlight w:val="none"/>
              </w:rPr>
              <w:t>10.1</w:t>
            </w:r>
          </w:p>
        </w:tc>
        <w:tc>
          <w:tcPr>
            <w:tcW w:w="8811" w:type="dxa"/>
            <w:gridSpan w:val="3"/>
            <w:noWrap w:val="0"/>
            <w:vAlign w:val="center"/>
          </w:tcPr>
          <w:p w14:paraId="2892ECE9">
            <w:pPr>
              <w:shd w:val="clear"/>
              <w:spacing w:line="340" w:lineRule="exact"/>
              <w:rPr>
                <w:bCs/>
                <w:highlight w:val="none"/>
              </w:rPr>
            </w:pPr>
            <w:r>
              <w:rPr>
                <w:rFonts w:hint="eastAsia"/>
                <w:bCs/>
                <w:highlight w:val="none"/>
              </w:rPr>
              <w:t>在任何评标环节中，需评标委员会就某项定性的评标结论做出表决的，由评标委员会全体成员按照少数服从多数的原则，以记名投票方式表决。</w:t>
            </w:r>
          </w:p>
        </w:tc>
      </w:tr>
      <w:tr w14:paraId="0CBA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31DAFCFA">
            <w:pPr>
              <w:shd w:val="clear"/>
              <w:jc w:val="center"/>
              <w:rPr>
                <w:highlight w:val="none"/>
              </w:rPr>
            </w:pPr>
            <w:r>
              <w:rPr>
                <w:rFonts w:hint="eastAsia"/>
                <w:highlight w:val="none"/>
              </w:rPr>
              <w:t>10.2</w:t>
            </w:r>
          </w:p>
        </w:tc>
        <w:tc>
          <w:tcPr>
            <w:tcW w:w="8811" w:type="dxa"/>
            <w:gridSpan w:val="3"/>
            <w:noWrap w:val="0"/>
            <w:vAlign w:val="center"/>
          </w:tcPr>
          <w:p w14:paraId="2E1E5932">
            <w:pPr>
              <w:shd w:val="clear"/>
              <w:spacing w:line="340" w:lineRule="exact"/>
              <w:rPr>
                <w:highlight w:val="none"/>
              </w:rPr>
            </w:pPr>
            <w:r>
              <w:rPr>
                <w:rFonts w:hint="eastAsia"/>
                <w:highlight w:val="none"/>
              </w:rPr>
              <w:t>投标人认为招标文件中有限制、排斥投标人情形的，应当在招标开始时间2日前向招标人书面提出，未在规定时间内提出异议的，视为对招标文件无异议。</w:t>
            </w:r>
          </w:p>
        </w:tc>
      </w:tr>
      <w:tr w14:paraId="5B63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noWrap w:val="0"/>
            <w:vAlign w:val="center"/>
          </w:tcPr>
          <w:p w14:paraId="4E31AEE9">
            <w:pPr>
              <w:shd w:val="clear"/>
              <w:jc w:val="center"/>
              <w:rPr>
                <w:rFonts w:hint="default" w:eastAsia="宋体"/>
                <w:highlight w:val="none"/>
                <w:lang w:val="en-US" w:eastAsia="zh-CN"/>
              </w:rPr>
            </w:pPr>
            <w:r>
              <w:rPr>
                <w:rFonts w:hint="eastAsia"/>
                <w:highlight w:val="none"/>
                <w:lang w:val="en-US" w:eastAsia="zh-CN"/>
              </w:rPr>
              <w:t>11</w:t>
            </w:r>
          </w:p>
        </w:tc>
        <w:tc>
          <w:tcPr>
            <w:tcW w:w="8811" w:type="dxa"/>
            <w:gridSpan w:val="3"/>
            <w:noWrap w:val="0"/>
            <w:vAlign w:val="center"/>
          </w:tcPr>
          <w:p w14:paraId="61BB9263">
            <w:pPr>
              <w:shd w:val="clear"/>
              <w:spacing w:line="360" w:lineRule="auto"/>
              <w:rPr>
                <w:rFonts w:hint="eastAsia"/>
                <w:highlight w:val="none"/>
              </w:rPr>
            </w:pPr>
            <w:r>
              <w:rPr>
                <w:rFonts w:hint="eastAsia" w:ascii="宋体" w:hAnsi="宋体" w:eastAsia="宋体" w:cs="宋体"/>
                <w:highlight w:val="none"/>
                <w:lang w:val="en-US" w:eastAsia="zh-CN"/>
              </w:rPr>
              <w:t>最高限价（万元）：2</w:t>
            </w:r>
            <w:r>
              <w:rPr>
                <w:rFonts w:hint="eastAsia" w:cs="宋体"/>
                <w:highlight w:val="none"/>
                <w:lang w:val="en-US" w:eastAsia="zh-CN"/>
              </w:rPr>
              <w:t>5800</w:t>
            </w:r>
            <w:r>
              <w:rPr>
                <w:rFonts w:hint="eastAsia" w:ascii="宋体" w:hAnsi="宋体" w:eastAsia="宋体" w:cs="宋体"/>
                <w:highlight w:val="none"/>
                <w:lang w:val="en-US" w:eastAsia="zh-CN"/>
              </w:rPr>
              <w:t>0元（</w:t>
            </w:r>
            <w:r>
              <w:rPr>
                <w:rFonts w:hint="eastAsia" w:cs="宋体"/>
                <w:highlight w:val="none"/>
                <w:lang w:val="en-US" w:eastAsia="zh-CN"/>
              </w:rPr>
              <w:t>投标</w:t>
            </w:r>
            <w:r>
              <w:rPr>
                <w:rFonts w:hint="eastAsia" w:ascii="宋体" w:hAnsi="宋体" w:eastAsia="宋体" w:cs="宋体"/>
                <w:highlight w:val="none"/>
                <w:lang w:val="en-US" w:eastAsia="zh-CN"/>
              </w:rPr>
              <w:t>人投标报价超过最高限价的按无效投标处理）</w:t>
            </w:r>
          </w:p>
        </w:tc>
      </w:tr>
    </w:tbl>
    <w:p w14:paraId="37D11F79">
      <w:pPr>
        <w:shd w:val="clear"/>
        <w:rPr>
          <w:highlight w:val="none"/>
        </w:rPr>
      </w:pPr>
    </w:p>
    <w:p w14:paraId="540F6D74">
      <w:pPr>
        <w:pStyle w:val="2"/>
        <w:shd w:val="clear"/>
        <w:ind w:left="480" w:firstLine="480"/>
        <w:rPr>
          <w:highlight w:val="none"/>
        </w:rPr>
      </w:pPr>
    </w:p>
    <w:p w14:paraId="4CBD4800">
      <w:pPr>
        <w:pStyle w:val="56"/>
        <w:shd w:val="clear"/>
        <w:spacing w:before="156"/>
        <w:rPr>
          <w:rStyle w:val="95"/>
          <w:b/>
          <w:bCs w:val="0"/>
          <w:highlight w:val="none"/>
        </w:rPr>
      </w:pPr>
      <w:bookmarkStart w:id="22" w:name="_Toc269310918"/>
      <w:bookmarkStart w:id="23" w:name="_Toc312072226"/>
      <w:bookmarkStart w:id="24" w:name="_Toc446434287"/>
      <w:r>
        <w:rPr>
          <w:rFonts w:hint="eastAsia"/>
          <w:sz w:val="32"/>
          <w:szCs w:val="32"/>
          <w:highlight w:val="none"/>
        </w:rPr>
        <w:br w:type="page"/>
      </w:r>
      <w:r>
        <w:rPr>
          <w:rFonts w:hint="eastAsia"/>
          <w:sz w:val="32"/>
          <w:szCs w:val="32"/>
          <w:highlight w:val="none"/>
        </w:rPr>
        <w:t>招标须知</w:t>
      </w:r>
      <w:bookmarkEnd w:id="22"/>
      <w:bookmarkEnd w:id="23"/>
      <w:r>
        <w:rPr>
          <w:rFonts w:hint="eastAsia"/>
          <w:sz w:val="32"/>
          <w:szCs w:val="32"/>
          <w:highlight w:val="none"/>
        </w:rPr>
        <w:t>正文部分</w:t>
      </w:r>
      <w:bookmarkEnd w:id="24"/>
    </w:p>
    <w:p w14:paraId="756FA211">
      <w:pPr>
        <w:pStyle w:val="63"/>
        <w:shd w:val="clear"/>
        <w:rPr>
          <w:rStyle w:val="95"/>
          <w:b/>
          <w:bCs/>
          <w:highlight w:val="none"/>
        </w:rPr>
      </w:pPr>
      <w:bookmarkStart w:id="25" w:name="_Toc507936013"/>
      <w:bookmarkStart w:id="26" w:name="_Toc506105818"/>
      <w:r>
        <w:rPr>
          <w:rStyle w:val="95"/>
          <w:rFonts w:hint="eastAsia"/>
          <w:b/>
          <w:bCs w:val="0"/>
          <w:highlight w:val="none"/>
        </w:rPr>
        <w:t>1.总则</w:t>
      </w:r>
      <w:bookmarkEnd w:id="25"/>
      <w:bookmarkEnd w:id="26"/>
    </w:p>
    <w:p w14:paraId="4BE7002E">
      <w:pPr>
        <w:pStyle w:val="58"/>
        <w:shd w:val="clear"/>
        <w:rPr>
          <w:highlight w:val="none"/>
        </w:rPr>
      </w:pPr>
      <w:bookmarkStart w:id="27" w:name="_Toc507936014"/>
      <w:bookmarkStart w:id="28" w:name="_Toc506105819"/>
      <w:r>
        <w:rPr>
          <w:rFonts w:hint="eastAsia"/>
          <w:highlight w:val="none"/>
        </w:rPr>
        <w:t>1.1 项目概况</w:t>
      </w:r>
      <w:bookmarkEnd w:id="27"/>
      <w:bookmarkEnd w:id="28"/>
    </w:p>
    <w:p w14:paraId="2BE7B66E">
      <w:pPr>
        <w:shd w:val="clear"/>
        <w:spacing w:line="360" w:lineRule="auto"/>
        <w:ind w:firstLine="480" w:firstLineChars="200"/>
        <w:rPr>
          <w:rFonts w:cs="仿宋"/>
          <w:highlight w:val="none"/>
        </w:rPr>
      </w:pPr>
      <w:r>
        <w:rPr>
          <w:rFonts w:hint="eastAsia" w:cs="仿宋"/>
          <w:highlight w:val="none"/>
        </w:rPr>
        <w:t>根据《中华人民共和国招标投标法》、《中华人民共和国招标投标法实施条例》等有关法律、法规和规章的规定，本项目已具备公开招标条件。</w:t>
      </w:r>
    </w:p>
    <w:p w14:paraId="620CEE06">
      <w:pPr>
        <w:pStyle w:val="60"/>
        <w:keepNext w:val="0"/>
        <w:keepLines w:val="0"/>
        <w:shd w:val="clear"/>
        <w:spacing w:before="0" w:line="360" w:lineRule="auto"/>
        <w:ind w:firstLine="480" w:firstLineChars="200"/>
        <w:rPr>
          <w:szCs w:val="28"/>
          <w:highlight w:val="none"/>
        </w:rPr>
      </w:pPr>
      <w:r>
        <w:rPr>
          <w:rFonts w:hint="eastAsia" w:ascii="宋体" w:hAnsi="宋体" w:cs="仿宋"/>
          <w:sz w:val="24"/>
          <w:highlight w:val="none"/>
        </w:rPr>
        <w:t xml:space="preserve">1.1.1 </w:t>
      </w:r>
      <w:r>
        <w:rPr>
          <w:rFonts w:hint="eastAsia" w:ascii="宋体" w:hAnsi="宋体" w:eastAsia="宋体" w:cs="仿宋"/>
          <w:kern w:val="2"/>
          <w:sz w:val="24"/>
          <w:szCs w:val="24"/>
          <w:highlight w:val="none"/>
        </w:rPr>
        <w:t>招标人：</w:t>
      </w:r>
      <w:r>
        <w:rPr>
          <w:rFonts w:hint="eastAsia" w:ascii="宋体" w:hAnsi="宋体" w:eastAsia="宋体" w:cs="仿宋"/>
          <w:sz w:val="24"/>
          <w:szCs w:val="24"/>
          <w:highlight w:val="none"/>
        </w:rPr>
        <w:t>详见投标人须知前附表</w:t>
      </w:r>
    </w:p>
    <w:p w14:paraId="0FE5D900">
      <w:pPr>
        <w:shd w:val="clear"/>
        <w:spacing w:line="360" w:lineRule="auto"/>
        <w:ind w:firstLine="480" w:firstLineChars="200"/>
        <w:rPr>
          <w:rFonts w:hint="eastAsia" w:cs="仿宋"/>
          <w:highlight w:val="none"/>
        </w:rPr>
      </w:pPr>
      <w:r>
        <w:rPr>
          <w:rFonts w:hint="eastAsia" w:cs="仿宋"/>
          <w:highlight w:val="none"/>
        </w:rPr>
        <w:t>1.1.2 招标项目名称：详见投标人须知前附表</w:t>
      </w:r>
    </w:p>
    <w:p w14:paraId="0EC1EC09">
      <w:pPr>
        <w:shd w:val="clear"/>
        <w:spacing w:line="360" w:lineRule="auto"/>
        <w:ind w:firstLine="480" w:firstLineChars="200"/>
        <w:rPr>
          <w:rFonts w:cs="仿宋"/>
          <w:highlight w:val="none"/>
        </w:rPr>
      </w:pPr>
      <w:r>
        <w:rPr>
          <w:rFonts w:hint="eastAsia" w:cs="仿宋"/>
          <w:highlight w:val="none"/>
        </w:rPr>
        <w:t>1.1.3项目概况: 详见投标人须知前附表</w:t>
      </w:r>
    </w:p>
    <w:p w14:paraId="2E8737FF">
      <w:pPr>
        <w:shd w:val="clear"/>
        <w:spacing w:line="360" w:lineRule="auto"/>
        <w:ind w:firstLine="480" w:firstLineChars="200"/>
        <w:rPr>
          <w:rFonts w:cs="仿宋"/>
          <w:highlight w:val="none"/>
        </w:rPr>
      </w:pPr>
      <w:r>
        <w:rPr>
          <w:rFonts w:hint="eastAsia" w:cs="仿宋"/>
          <w:highlight w:val="none"/>
        </w:rPr>
        <w:t>1.1.4 项目地点：详见投标人须知前附表</w:t>
      </w:r>
    </w:p>
    <w:p w14:paraId="765447A6">
      <w:pPr>
        <w:pStyle w:val="58"/>
        <w:shd w:val="clear"/>
        <w:rPr>
          <w:highlight w:val="none"/>
        </w:rPr>
      </w:pPr>
      <w:bookmarkStart w:id="29" w:name="_Toc328559028"/>
      <w:bookmarkStart w:id="30" w:name="_Toc247527555"/>
      <w:bookmarkStart w:id="31" w:name="_Toc25497"/>
      <w:bookmarkStart w:id="32" w:name="_Toc27657"/>
      <w:bookmarkStart w:id="33" w:name="_Toc300834951"/>
      <w:bookmarkStart w:id="34" w:name="_Toc506105820"/>
      <w:bookmarkStart w:id="35" w:name="_Toc247513954"/>
      <w:bookmarkStart w:id="36" w:name="_Toc507936015"/>
      <w:r>
        <w:rPr>
          <w:rFonts w:hint="eastAsia"/>
          <w:highlight w:val="none"/>
        </w:rPr>
        <w:t>1.2 项目资金来源</w:t>
      </w:r>
      <w:bookmarkEnd w:id="29"/>
      <w:bookmarkEnd w:id="30"/>
      <w:bookmarkEnd w:id="31"/>
      <w:bookmarkEnd w:id="32"/>
      <w:bookmarkEnd w:id="33"/>
      <w:bookmarkEnd w:id="34"/>
      <w:bookmarkEnd w:id="35"/>
      <w:r>
        <w:rPr>
          <w:rFonts w:hint="eastAsia"/>
          <w:highlight w:val="none"/>
        </w:rPr>
        <w:t>、招标方式、招标控价</w:t>
      </w:r>
      <w:bookmarkEnd w:id="36"/>
    </w:p>
    <w:p w14:paraId="572946E5">
      <w:pPr>
        <w:shd w:val="clear"/>
        <w:spacing w:line="360" w:lineRule="auto"/>
        <w:ind w:firstLine="480" w:firstLineChars="200"/>
        <w:rPr>
          <w:rFonts w:hint="eastAsia" w:cs="仿宋"/>
          <w:highlight w:val="none"/>
        </w:rPr>
      </w:pPr>
      <w:r>
        <w:rPr>
          <w:rFonts w:hint="eastAsia" w:cs="仿宋"/>
          <w:highlight w:val="none"/>
        </w:rPr>
        <w:t>1.2.1 项目资金来源：</w:t>
      </w:r>
      <w:bookmarkStart w:id="37" w:name="_Toc16572"/>
      <w:bookmarkStart w:id="38" w:name="_Toc247527556"/>
      <w:bookmarkStart w:id="39" w:name="_Toc300834952"/>
      <w:bookmarkStart w:id="40" w:name="_Toc328559029"/>
      <w:bookmarkStart w:id="41" w:name="_Toc247513955"/>
      <w:bookmarkStart w:id="42" w:name="_Toc30612"/>
      <w:r>
        <w:rPr>
          <w:rFonts w:hint="eastAsia" w:cs="仿宋"/>
          <w:highlight w:val="none"/>
        </w:rPr>
        <w:t>详见投标人须知前附表</w:t>
      </w:r>
    </w:p>
    <w:p w14:paraId="6A5910DC">
      <w:pPr>
        <w:shd w:val="clear"/>
        <w:spacing w:line="360" w:lineRule="auto"/>
        <w:ind w:firstLine="480" w:firstLineChars="200"/>
        <w:rPr>
          <w:rFonts w:hint="eastAsia" w:cs="仿宋"/>
          <w:highlight w:val="none"/>
        </w:rPr>
      </w:pPr>
      <w:r>
        <w:rPr>
          <w:rFonts w:hint="eastAsia" w:cs="仿宋"/>
          <w:highlight w:val="none"/>
        </w:rPr>
        <w:t>1.2.2招标方式：详见投标人须知前附表</w:t>
      </w:r>
    </w:p>
    <w:p w14:paraId="5514DBAA">
      <w:pPr>
        <w:pStyle w:val="2"/>
        <w:shd w:val="clear"/>
        <w:ind w:left="0" w:leftChars="0" w:firstLine="480"/>
        <w:rPr>
          <w:rFonts w:hint="eastAsia"/>
          <w:highlight w:val="none"/>
        </w:rPr>
      </w:pPr>
      <w:r>
        <w:rPr>
          <w:rFonts w:hint="eastAsia" w:ascii="宋体" w:hAnsi="宋体" w:cs="仿宋"/>
          <w:highlight w:val="none"/>
        </w:rPr>
        <w:t>1.2.3</w:t>
      </w:r>
      <w:r>
        <w:rPr>
          <w:rFonts w:hint="eastAsia"/>
          <w:highlight w:val="none"/>
        </w:rPr>
        <w:t>招标控价：</w:t>
      </w:r>
      <w:r>
        <w:rPr>
          <w:rFonts w:hint="eastAsia" w:ascii="宋体" w:hAnsi="宋体" w:cs="仿宋"/>
          <w:highlight w:val="none"/>
        </w:rPr>
        <w:t>详见</w:t>
      </w:r>
      <w:r>
        <w:rPr>
          <w:rFonts w:hint="eastAsia" w:cs="仿宋"/>
          <w:highlight w:val="none"/>
        </w:rPr>
        <w:t>投标人须知前附表</w:t>
      </w:r>
    </w:p>
    <w:p w14:paraId="782B710D">
      <w:pPr>
        <w:pStyle w:val="58"/>
        <w:shd w:val="clear"/>
        <w:rPr>
          <w:highlight w:val="none"/>
        </w:rPr>
      </w:pPr>
      <w:bookmarkStart w:id="43" w:name="_Toc506105821"/>
      <w:bookmarkStart w:id="44" w:name="_Toc507936016"/>
      <w:r>
        <w:rPr>
          <w:rFonts w:hint="eastAsia"/>
          <w:highlight w:val="none"/>
        </w:rPr>
        <w:t>1.3 招标范围、供货周期、</w:t>
      </w:r>
      <w:bookmarkEnd w:id="37"/>
      <w:bookmarkEnd w:id="38"/>
      <w:bookmarkEnd w:id="39"/>
      <w:bookmarkEnd w:id="40"/>
      <w:bookmarkEnd w:id="41"/>
      <w:bookmarkEnd w:id="42"/>
      <w:bookmarkEnd w:id="43"/>
      <w:r>
        <w:rPr>
          <w:rFonts w:hint="eastAsia"/>
          <w:highlight w:val="none"/>
        </w:rPr>
        <w:t>交货地点和质保期</w:t>
      </w:r>
      <w:bookmarkEnd w:id="44"/>
    </w:p>
    <w:p w14:paraId="4B6DE3D3">
      <w:pPr>
        <w:shd w:val="clear"/>
        <w:tabs>
          <w:tab w:val="left" w:pos="220"/>
        </w:tabs>
        <w:snapToGrid w:val="0"/>
        <w:spacing w:line="360" w:lineRule="auto"/>
        <w:ind w:firstLine="480" w:firstLineChars="200"/>
        <w:rPr>
          <w:rFonts w:cs="仿宋"/>
          <w:highlight w:val="none"/>
        </w:rPr>
      </w:pPr>
      <w:r>
        <w:rPr>
          <w:rFonts w:hint="eastAsia" w:cs="仿宋"/>
          <w:highlight w:val="none"/>
        </w:rPr>
        <w:t>1.3.1 招标范围：详见投标人须知前附表</w:t>
      </w:r>
    </w:p>
    <w:p w14:paraId="7BFEFDC1">
      <w:pPr>
        <w:shd w:val="clear"/>
        <w:spacing w:line="360" w:lineRule="auto"/>
        <w:ind w:firstLine="480" w:firstLineChars="200"/>
        <w:rPr>
          <w:rFonts w:hint="eastAsia" w:cs="仿宋"/>
          <w:highlight w:val="none"/>
        </w:rPr>
      </w:pPr>
      <w:r>
        <w:rPr>
          <w:rFonts w:hint="eastAsia" w:cs="仿宋"/>
          <w:highlight w:val="none"/>
        </w:rPr>
        <w:t>1.3.2 供货周期：详见投标人须知前附表</w:t>
      </w:r>
    </w:p>
    <w:p w14:paraId="6D851B6B">
      <w:pPr>
        <w:shd w:val="clear"/>
        <w:spacing w:line="360" w:lineRule="auto"/>
        <w:ind w:firstLine="480" w:firstLineChars="200"/>
        <w:rPr>
          <w:rFonts w:hint="eastAsia" w:cs="仿宋"/>
          <w:highlight w:val="none"/>
        </w:rPr>
      </w:pPr>
      <w:r>
        <w:rPr>
          <w:rFonts w:hint="eastAsia" w:cs="仿宋"/>
          <w:highlight w:val="none"/>
        </w:rPr>
        <w:t>1.3.3 交货地点：详见投标人须知前附表</w:t>
      </w:r>
    </w:p>
    <w:p w14:paraId="7E2DE44A">
      <w:pPr>
        <w:shd w:val="clear"/>
        <w:spacing w:line="360" w:lineRule="auto"/>
        <w:ind w:firstLine="480" w:firstLineChars="200"/>
        <w:rPr>
          <w:rFonts w:cs="仿宋"/>
          <w:highlight w:val="none"/>
        </w:rPr>
      </w:pPr>
      <w:r>
        <w:rPr>
          <w:rFonts w:hint="eastAsia" w:cs="仿宋"/>
          <w:highlight w:val="none"/>
        </w:rPr>
        <w:t>1.3.4质保期：详见投标人须知前附表</w:t>
      </w:r>
    </w:p>
    <w:p w14:paraId="7735DB4A">
      <w:pPr>
        <w:pStyle w:val="58"/>
        <w:shd w:val="clear"/>
        <w:rPr>
          <w:highlight w:val="none"/>
        </w:rPr>
      </w:pPr>
      <w:bookmarkStart w:id="45" w:name="_Toc507936017"/>
      <w:bookmarkStart w:id="46" w:name="_Toc506105822"/>
      <w:r>
        <w:rPr>
          <w:rFonts w:hint="eastAsia"/>
          <w:highlight w:val="none"/>
        </w:rPr>
        <w:t>1.4 投标人资格要求</w:t>
      </w:r>
      <w:bookmarkEnd w:id="45"/>
      <w:bookmarkEnd w:id="46"/>
    </w:p>
    <w:p w14:paraId="16E01A2D">
      <w:pPr>
        <w:shd w:val="clear"/>
        <w:ind w:firstLine="480" w:firstLineChars="200"/>
        <w:rPr>
          <w:rFonts w:cs="仿宋"/>
          <w:highlight w:val="none"/>
        </w:rPr>
      </w:pPr>
      <w:r>
        <w:rPr>
          <w:rFonts w:hint="eastAsia" w:cs="仿宋"/>
          <w:highlight w:val="none"/>
        </w:rPr>
        <w:t xml:space="preserve">1.4.1 </w:t>
      </w:r>
      <w:r>
        <w:rPr>
          <w:rFonts w:hint="eastAsia"/>
          <w:highlight w:val="none"/>
        </w:rPr>
        <w:t>投标人</w:t>
      </w:r>
      <w:r>
        <w:rPr>
          <w:rFonts w:hint="eastAsia" w:cs="仿宋"/>
          <w:highlight w:val="none"/>
        </w:rPr>
        <w:t>资格要求：详见投标人须知前附表</w:t>
      </w:r>
    </w:p>
    <w:p w14:paraId="6EF76A7E">
      <w:pPr>
        <w:shd w:val="clear"/>
        <w:spacing w:line="360" w:lineRule="auto"/>
        <w:ind w:firstLine="480" w:firstLineChars="200"/>
        <w:rPr>
          <w:rFonts w:hint="eastAsia" w:cs="仿宋"/>
          <w:highlight w:val="none"/>
        </w:rPr>
      </w:pPr>
      <w:r>
        <w:rPr>
          <w:rFonts w:hint="eastAsia" w:cs="仿宋"/>
          <w:highlight w:val="none"/>
        </w:rPr>
        <w:t>1.4.2 本次招标不接受联合体。</w:t>
      </w:r>
    </w:p>
    <w:p w14:paraId="114B8799">
      <w:pPr>
        <w:shd w:val="clear"/>
        <w:tabs>
          <w:tab w:val="left" w:pos="220"/>
        </w:tabs>
        <w:snapToGrid w:val="0"/>
        <w:spacing w:line="360" w:lineRule="auto"/>
        <w:ind w:firstLine="480" w:firstLineChars="200"/>
        <w:rPr>
          <w:rFonts w:hint="eastAsia" w:cs="仿宋"/>
          <w:highlight w:val="none"/>
        </w:rPr>
      </w:pPr>
      <w:r>
        <w:rPr>
          <w:rFonts w:hint="eastAsia" w:cs="仿宋"/>
          <w:highlight w:val="none"/>
        </w:rPr>
        <w:t>1.4.3投标人不得存在下列情形之一：</w:t>
      </w:r>
    </w:p>
    <w:p w14:paraId="6D2D2386">
      <w:pPr>
        <w:shd w:val="clear"/>
        <w:tabs>
          <w:tab w:val="left" w:pos="220"/>
        </w:tabs>
        <w:snapToGrid w:val="0"/>
        <w:spacing w:line="360" w:lineRule="auto"/>
        <w:ind w:firstLine="480" w:firstLineChars="200"/>
        <w:rPr>
          <w:rFonts w:hint="eastAsia" w:cs="仿宋"/>
          <w:highlight w:val="none"/>
        </w:rPr>
      </w:pPr>
      <w:r>
        <w:rPr>
          <w:rFonts w:hint="eastAsia" w:cs="仿宋"/>
          <w:highlight w:val="none"/>
        </w:rPr>
        <w:t>（1）与招标人存在利害关系且可能影响招标公正性；</w:t>
      </w:r>
    </w:p>
    <w:p w14:paraId="422E0EEF">
      <w:pPr>
        <w:shd w:val="clear"/>
        <w:tabs>
          <w:tab w:val="left" w:pos="220"/>
        </w:tabs>
        <w:snapToGrid w:val="0"/>
        <w:spacing w:line="360" w:lineRule="auto"/>
        <w:ind w:firstLine="480" w:firstLineChars="200"/>
        <w:rPr>
          <w:rFonts w:hint="eastAsia" w:cs="仿宋"/>
          <w:highlight w:val="none"/>
        </w:rPr>
      </w:pPr>
      <w:r>
        <w:rPr>
          <w:rFonts w:hint="eastAsia" w:cs="仿宋"/>
          <w:highlight w:val="none"/>
        </w:rPr>
        <w:t>（2）与本招标项目的其他投标人为同一个单位负责人；</w:t>
      </w:r>
    </w:p>
    <w:p w14:paraId="74E2CE24">
      <w:pPr>
        <w:shd w:val="clear"/>
        <w:tabs>
          <w:tab w:val="left" w:pos="220"/>
        </w:tabs>
        <w:snapToGrid w:val="0"/>
        <w:spacing w:line="360" w:lineRule="auto"/>
        <w:ind w:firstLine="480" w:firstLineChars="200"/>
        <w:rPr>
          <w:rFonts w:hint="eastAsia" w:cs="仿宋"/>
          <w:highlight w:val="none"/>
        </w:rPr>
      </w:pPr>
      <w:r>
        <w:rPr>
          <w:rFonts w:hint="eastAsia" w:cs="仿宋"/>
          <w:highlight w:val="none"/>
        </w:rPr>
        <w:t>（3）与本招标项目的其他投标人存在控股、管理关系；</w:t>
      </w:r>
    </w:p>
    <w:p w14:paraId="519F658B">
      <w:pPr>
        <w:shd w:val="clear"/>
        <w:tabs>
          <w:tab w:val="left" w:pos="220"/>
        </w:tabs>
        <w:snapToGrid w:val="0"/>
        <w:spacing w:line="360" w:lineRule="auto"/>
        <w:ind w:firstLine="480" w:firstLineChars="200"/>
        <w:rPr>
          <w:rFonts w:hint="eastAsia" w:cs="仿宋"/>
          <w:highlight w:val="none"/>
        </w:rPr>
      </w:pPr>
      <w:r>
        <w:rPr>
          <w:rFonts w:hint="eastAsia" w:cs="仿宋"/>
          <w:highlight w:val="none"/>
        </w:rPr>
        <w:t>（4）与本招标项目其他投标人代理同一个制造商同一品牌同一型号的设备投标；</w:t>
      </w:r>
    </w:p>
    <w:p w14:paraId="48576199">
      <w:pPr>
        <w:shd w:val="clear"/>
        <w:tabs>
          <w:tab w:val="left" w:pos="220"/>
        </w:tabs>
        <w:snapToGrid w:val="0"/>
        <w:spacing w:line="360" w:lineRule="auto"/>
        <w:ind w:firstLine="480" w:firstLineChars="200"/>
        <w:rPr>
          <w:rFonts w:hint="eastAsia" w:cs="仿宋"/>
          <w:highlight w:val="none"/>
        </w:rPr>
      </w:pPr>
      <w:r>
        <w:rPr>
          <w:rFonts w:hint="eastAsia" w:cs="仿宋"/>
          <w:highlight w:val="none"/>
        </w:rPr>
        <w:t>（5）为本招标项目提供过设计、编制技术规范和其他文件的咨询服务；</w:t>
      </w:r>
    </w:p>
    <w:p w14:paraId="5B37AE7A">
      <w:pPr>
        <w:shd w:val="clear"/>
        <w:tabs>
          <w:tab w:val="left" w:pos="220"/>
        </w:tabs>
        <w:snapToGrid w:val="0"/>
        <w:spacing w:line="360" w:lineRule="auto"/>
        <w:ind w:firstLine="480" w:firstLineChars="200"/>
        <w:rPr>
          <w:rFonts w:hint="eastAsia" w:cs="仿宋"/>
          <w:highlight w:val="none"/>
        </w:rPr>
      </w:pPr>
      <w:r>
        <w:rPr>
          <w:rFonts w:hint="eastAsia" w:cs="仿宋"/>
          <w:highlight w:val="none"/>
        </w:rPr>
        <w:t>（6）为本工程项目的相关监理人，或者与本工程项目的相关监理人存在隶属关系或者其他 利害关系；</w:t>
      </w:r>
    </w:p>
    <w:p w14:paraId="4C268759">
      <w:pPr>
        <w:shd w:val="clear"/>
        <w:tabs>
          <w:tab w:val="left" w:pos="220"/>
        </w:tabs>
        <w:snapToGrid w:val="0"/>
        <w:spacing w:line="360" w:lineRule="auto"/>
        <w:ind w:firstLine="480" w:firstLineChars="200"/>
        <w:rPr>
          <w:rFonts w:hint="eastAsia" w:cs="仿宋"/>
          <w:highlight w:val="none"/>
        </w:rPr>
      </w:pPr>
      <w:r>
        <w:rPr>
          <w:rFonts w:hint="eastAsia" w:cs="仿宋"/>
          <w:highlight w:val="none"/>
        </w:rPr>
        <w:t>（7）为本招标项目的代建人；</w:t>
      </w:r>
    </w:p>
    <w:p w14:paraId="64C37D68">
      <w:pPr>
        <w:shd w:val="clear"/>
        <w:tabs>
          <w:tab w:val="left" w:pos="220"/>
        </w:tabs>
        <w:snapToGrid w:val="0"/>
        <w:spacing w:line="360" w:lineRule="auto"/>
        <w:ind w:firstLine="480" w:firstLineChars="200"/>
        <w:rPr>
          <w:rFonts w:hint="eastAsia" w:cs="仿宋"/>
          <w:highlight w:val="none"/>
        </w:rPr>
      </w:pPr>
      <w:r>
        <w:rPr>
          <w:rFonts w:hint="eastAsia" w:cs="仿宋"/>
          <w:highlight w:val="none"/>
        </w:rPr>
        <w:t>（8）为本招标项目的招标代理机构；</w:t>
      </w:r>
    </w:p>
    <w:p w14:paraId="1CAD345F">
      <w:pPr>
        <w:shd w:val="clear"/>
        <w:tabs>
          <w:tab w:val="left" w:pos="220"/>
        </w:tabs>
        <w:snapToGrid w:val="0"/>
        <w:spacing w:line="360" w:lineRule="auto"/>
        <w:ind w:firstLine="480" w:firstLineChars="200"/>
        <w:rPr>
          <w:rFonts w:hint="eastAsia" w:cs="仿宋"/>
          <w:highlight w:val="none"/>
        </w:rPr>
      </w:pPr>
      <w:r>
        <w:rPr>
          <w:rFonts w:hint="eastAsia" w:cs="仿宋"/>
          <w:highlight w:val="none"/>
        </w:rPr>
        <w:t>（9）与本招标项目的监理人或代建人或招标代理机构同为一个法定代表人；</w:t>
      </w:r>
    </w:p>
    <w:p w14:paraId="358A68B7">
      <w:pPr>
        <w:shd w:val="clear"/>
        <w:tabs>
          <w:tab w:val="left" w:pos="220"/>
        </w:tabs>
        <w:snapToGrid w:val="0"/>
        <w:spacing w:line="360" w:lineRule="auto"/>
        <w:ind w:firstLine="480" w:firstLineChars="200"/>
        <w:rPr>
          <w:rFonts w:hint="eastAsia" w:cs="仿宋"/>
          <w:highlight w:val="none"/>
        </w:rPr>
      </w:pPr>
      <w:r>
        <w:rPr>
          <w:rFonts w:hint="eastAsia" w:cs="仿宋"/>
          <w:highlight w:val="none"/>
        </w:rPr>
        <w:t>（10）与本招标项目的监理人或代建人或招标代理机构存在控股或参股关系；</w:t>
      </w:r>
    </w:p>
    <w:p w14:paraId="46919B8C">
      <w:pPr>
        <w:shd w:val="clear"/>
        <w:tabs>
          <w:tab w:val="left" w:pos="220"/>
        </w:tabs>
        <w:snapToGrid w:val="0"/>
        <w:spacing w:line="360" w:lineRule="auto"/>
        <w:ind w:firstLine="480" w:firstLineChars="200"/>
        <w:rPr>
          <w:rFonts w:hint="eastAsia" w:cs="仿宋"/>
          <w:highlight w:val="none"/>
        </w:rPr>
      </w:pPr>
      <w:r>
        <w:rPr>
          <w:rFonts w:hint="eastAsia" w:cs="仿宋"/>
          <w:highlight w:val="none"/>
        </w:rPr>
        <w:t>（11）被依法暂停或者取消投标资格；</w:t>
      </w:r>
    </w:p>
    <w:p w14:paraId="6C5AC78B">
      <w:pPr>
        <w:shd w:val="clear"/>
        <w:tabs>
          <w:tab w:val="left" w:pos="220"/>
        </w:tabs>
        <w:snapToGrid w:val="0"/>
        <w:spacing w:line="360" w:lineRule="auto"/>
        <w:ind w:firstLine="480" w:firstLineChars="200"/>
        <w:rPr>
          <w:rFonts w:hint="eastAsia" w:cs="仿宋"/>
          <w:highlight w:val="none"/>
        </w:rPr>
      </w:pPr>
      <w:r>
        <w:rPr>
          <w:rFonts w:hint="eastAsia" w:cs="仿宋"/>
          <w:highlight w:val="none"/>
        </w:rPr>
        <w:t>（12）被责令停产停业、暂扣或者吊销许可证、暂扣或者吊销执照；</w:t>
      </w:r>
    </w:p>
    <w:p w14:paraId="1823FB7B">
      <w:pPr>
        <w:shd w:val="clear"/>
        <w:tabs>
          <w:tab w:val="left" w:pos="220"/>
        </w:tabs>
        <w:snapToGrid w:val="0"/>
        <w:spacing w:line="360" w:lineRule="auto"/>
        <w:ind w:firstLine="480" w:firstLineChars="200"/>
        <w:rPr>
          <w:rFonts w:hint="eastAsia" w:cs="仿宋"/>
          <w:highlight w:val="none"/>
        </w:rPr>
      </w:pPr>
      <w:r>
        <w:rPr>
          <w:rFonts w:hint="eastAsia" w:cs="仿宋"/>
          <w:highlight w:val="none"/>
        </w:rPr>
        <w:t>（13）进入清算程序，或被宣告破产，或其他丧失履约能力的情形；</w:t>
      </w:r>
    </w:p>
    <w:p w14:paraId="2C0BC03A">
      <w:pPr>
        <w:shd w:val="clear"/>
        <w:tabs>
          <w:tab w:val="left" w:pos="220"/>
        </w:tabs>
        <w:snapToGrid w:val="0"/>
        <w:spacing w:line="360" w:lineRule="auto"/>
        <w:ind w:firstLine="480" w:firstLineChars="200"/>
        <w:rPr>
          <w:rFonts w:hint="eastAsia" w:cs="仿宋"/>
          <w:highlight w:val="none"/>
        </w:rPr>
      </w:pPr>
      <w:r>
        <w:rPr>
          <w:rFonts w:hint="eastAsia" w:cs="仿宋"/>
          <w:highlight w:val="none"/>
        </w:rPr>
        <w:t>（14）在最近三年内发生重大产品质量问题（以相关行业主管部门的行政处罚决定或司法 机关出具的有关法律文书为准）；</w:t>
      </w:r>
    </w:p>
    <w:p w14:paraId="7CB18A4F">
      <w:pPr>
        <w:shd w:val="clear"/>
        <w:tabs>
          <w:tab w:val="left" w:pos="220"/>
        </w:tabs>
        <w:snapToGrid w:val="0"/>
        <w:spacing w:line="360" w:lineRule="auto"/>
        <w:ind w:firstLine="480" w:firstLineChars="200"/>
        <w:rPr>
          <w:rFonts w:hint="eastAsia" w:cs="仿宋"/>
          <w:highlight w:val="none"/>
        </w:rPr>
      </w:pPr>
      <w:r>
        <w:rPr>
          <w:rFonts w:hint="eastAsia" w:cs="仿宋"/>
          <w:highlight w:val="none"/>
        </w:rPr>
        <w:t>（15）被工商行政管理机关在全国企业信用信息公示系统中列入严重违法失信企业名单；</w:t>
      </w:r>
    </w:p>
    <w:p w14:paraId="0EC2DC74">
      <w:pPr>
        <w:shd w:val="clear"/>
        <w:tabs>
          <w:tab w:val="left" w:pos="220"/>
        </w:tabs>
        <w:snapToGrid w:val="0"/>
        <w:spacing w:line="360" w:lineRule="auto"/>
        <w:ind w:firstLine="480" w:firstLineChars="200"/>
        <w:rPr>
          <w:rFonts w:hint="eastAsia" w:cs="仿宋"/>
          <w:highlight w:val="none"/>
        </w:rPr>
      </w:pPr>
      <w:r>
        <w:rPr>
          <w:rFonts w:hint="eastAsia" w:cs="仿宋"/>
          <w:highlight w:val="none"/>
        </w:rPr>
        <w:t>（16）被最高人民法院在“信用中国”网站（www.creditchina.gov.cn)或各级信用信息共享平台中列入失信被执行人名单；</w:t>
      </w:r>
    </w:p>
    <w:p w14:paraId="1FA99FFC">
      <w:pPr>
        <w:shd w:val="clear"/>
        <w:tabs>
          <w:tab w:val="left" w:pos="220"/>
        </w:tabs>
        <w:snapToGrid w:val="0"/>
        <w:spacing w:line="360" w:lineRule="auto"/>
        <w:ind w:firstLine="480" w:firstLineChars="200"/>
        <w:rPr>
          <w:rFonts w:hint="eastAsia" w:cs="仿宋"/>
          <w:highlight w:val="none"/>
        </w:rPr>
      </w:pPr>
      <w:r>
        <w:rPr>
          <w:rFonts w:hint="eastAsia" w:cs="仿宋"/>
          <w:highlight w:val="none"/>
        </w:rPr>
        <w:t>（17）在近三年内投标人或其法定代表人、拟委任的项目负责人有行贿犯罪行为的（以检察机关职务犯罪预防部门出具的查询结果为准）；</w:t>
      </w:r>
    </w:p>
    <w:p w14:paraId="4B8EEA2A">
      <w:pPr>
        <w:shd w:val="clear"/>
        <w:tabs>
          <w:tab w:val="left" w:pos="220"/>
        </w:tabs>
        <w:snapToGrid w:val="0"/>
        <w:spacing w:line="360" w:lineRule="auto"/>
        <w:ind w:firstLine="480" w:firstLineChars="200"/>
        <w:rPr>
          <w:rFonts w:hint="eastAsia" w:cs="仿宋"/>
          <w:highlight w:val="none"/>
        </w:rPr>
      </w:pPr>
      <w:r>
        <w:rPr>
          <w:rFonts w:hint="eastAsia" w:cs="仿宋"/>
          <w:highlight w:val="none"/>
        </w:rPr>
        <w:t>（18）法律法规或投标人须知前附表规定的其他情形。</w:t>
      </w:r>
    </w:p>
    <w:p w14:paraId="1FBBADFE">
      <w:pPr>
        <w:pStyle w:val="58"/>
        <w:shd w:val="clear"/>
        <w:rPr>
          <w:highlight w:val="none"/>
        </w:rPr>
      </w:pPr>
      <w:bookmarkStart w:id="47" w:name="_Toc507936018"/>
      <w:bookmarkStart w:id="48" w:name="_Toc506105823"/>
      <w:r>
        <w:rPr>
          <w:rFonts w:hint="eastAsia"/>
          <w:highlight w:val="none"/>
        </w:rPr>
        <w:t>1.5 费用承担</w:t>
      </w:r>
      <w:bookmarkEnd w:id="47"/>
      <w:bookmarkEnd w:id="48"/>
    </w:p>
    <w:p w14:paraId="7E8D28C5">
      <w:pPr>
        <w:shd w:val="clear"/>
        <w:ind w:firstLine="480" w:firstLineChars="200"/>
        <w:rPr>
          <w:rFonts w:cs="仿宋"/>
          <w:highlight w:val="none"/>
        </w:rPr>
      </w:pPr>
      <w:r>
        <w:rPr>
          <w:rFonts w:hint="eastAsia"/>
          <w:highlight w:val="none"/>
        </w:rPr>
        <w:t>投标人</w:t>
      </w:r>
      <w:r>
        <w:rPr>
          <w:rFonts w:hint="eastAsia" w:cs="仿宋"/>
          <w:highlight w:val="none"/>
        </w:rPr>
        <w:t>准备和参加招标活动发生的费用自理。</w:t>
      </w:r>
    </w:p>
    <w:p w14:paraId="3341DF20">
      <w:pPr>
        <w:pStyle w:val="58"/>
        <w:shd w:val="clear"/>
        <w:rPr>
          <w:highlight w:val="none"/>
        </w:rPr>
      </w:pPr>
      <w:bookmarkStart w:id="49" w:name="_Toc507936019"/>
      <w:bookmarkStart w:id="50" w:name="_Toc506105824"/>
      <w:r>
        <w:rPr>
          <w:rFonts w:hint="eastAsia"/>
          <w:highlight w:val="none"/>
        </w:rPr>
        <w:t>1.6 保密</w:t>
      </w:r>
      <w:bookmarkEnd w:id="49"/>
      <w:bookmarkEnd w:id="50"/>
    </w:p>
    <w:p w14:paraId="43FEDD08">
      <w:pPr>
        <w:shd w:val="clear"/>
        <w:spacing w:line="360" w:lineRule="auto"/>
        <w:ind w:firstLine="480" w:firstLineChars="200"/>
        <w:rPr>
          <w:rFonts w:cs="仿宋"/>
          <w:highlight w:val="none"/>
        </w:rPr>
      </w:pPr>
      <w:r>
        <w:rPr>
          <w:rFonts w:hint="eastAsia" w:cs="仿宋"/>
          <w:highlight w:val="none"/>
        </w:rPr>
        <w:t>参与招标活动的各方应对招标文件和投标文件中的商业和技术等秘密保密，违者应对由此造成的后果承担法律责任。</w:t>
      </w:r>
    </w:p>
    <w:p w14:paraId="7E079F1C">
      <w:pPr>
        <w:pStyle w:val="58"/>
        <w:shd w:val="clear"/>
        <w:rPr>
          <w:highlight w:val="none"/>
        </w:rPr>
      </w:pPr>
      <w:bookmarkStart w:id="51" w:name="_Toc507936020"/>
      <w:bookmarkStart w:id="52" w:name="_Toc506105825"/>
      <w:r>
        <w:rPr>
          <w:rFonts w:hint="eastAsia"/>
          <w:highlight w:val="none"/>
        </w:rPr>
        <w:t>1.7 语言文字</w:t>
      </w:r>
      <w:bookmarkEnd w:id="51"/>
      <w:bookmarkEnd w:id="52"/>
    </w:p>
    <w:p w14:paraId="7C1E32CE">
      <w:pPr>
        <w:shd w:val="clear"/>
        <w:spacing w:line="360" w:lineRule="auto"/>
        <w:ind w:firstLine="480" w:firstLineChars="200"/>
        <w:rPr>
          <w:rFonts w:cs="仿宋"/>
          <w:highlight w:val="none"/>
        </w:rPr>
      </w:pPr>
      <w:r>
        <w:rPr>
          <w:rFonts w:hint="eastAsia" w:cs="仿宋"/>
          <w:highlight w:val="none"/>
        </w:rPr>
        <w:t>除专用术语外，与招标有关的语言均使用中文，必要时专用术语应附有中文注释。</w:t>
      </w:r>
    </w:p>
    <w:p w14:paraId="11CE9960">
      <w:pPr>
        <w:pStyle w:val="58"/>
        <w:shd w:val="clear"/>
        <w:rPr>
          <w:highlight w:val="none"/>
        </w:rPr>
      </w:pPr>
      <w:bookmarkStart w:id="53" w:name="_Toc507936021"/>
      <w:bookmarkStart w:id="54" w:name="_Toc506105826"/>
      <w:r>
        <w:rPr>
          <w:rFonts w:hint="eastAsia"/>
          <w:highlight w:val="none"/>
        </w:rPr>
        <w:t>1.8 计量单位</w:t>
      </w:r>
      <w:bookmarkEnd w:id="53"/>
      <w:bookmarkEnd w:id="54"/>
    </w:p>
    <w:p w14:paraId="0C48C376">
      <w:pPr>
        <w:shd w:val="clear"/>
        <w:spacing w:line="360" w:lineRule="auto"/>
        <w:ind w:firstLine="480" w:firstLineChars="200"/>
        <w:rPr>
          <w:rFonts w:cs="仿宋"/>
          <w:highlight w:val="none"/>
        </w:rPr>
      </w:pPr>
      <w:r>
        <w:rPr>
          <w:rFonts w:hint="eastAsia" w:cs="仿宋"/>
          <w:highlight w:val="none"/>
        </w:rPr>
        <w:t>所有计量均采用中华人民共和国法定计量单位。</w:t>
      </w:r>
    </w:p>
    <w:p w14:paraId="0F843872">
      <w:pPr>
        <w:pStyle w:val="58"/>
        <w:shd w:val="clear"/>
        <w:rPr>
          <w:highlight w:val="none"/>
        </w:rPr>
      </w:pPr>
      <w:bookmarkStart w:id="55" w:name="_Toc507936022"/>
      <w:bookmarkStart w:id="56" w:name="_Toc506105827"/>
      <w:r>
        <w:rPr>
          <w:rFonts w:hint="eastAsia"/>
          <w:highlight w:val="none"/>
        </w:rPr>
        <w:t>1.9 踏勘现场</w:t>
      </w:r>
      <w:bookmarkEnd w:id="55"/>
      <w:bookmarkEnd w:id="56"/>
    </w:p>
    <w:p w14:paraId="146F896A">
      <w:pPr>
        <w:shd w:val="clear"/>
        <w:spacing w:line="360" w:lineRule="auto"/>
        <w:ind w:firstLine="480" w:firstLineChars="200"/>
        <w:rPr>
          <w:rStyle w:val="95"/>
          <w:highlight w:val="none"/>
        </w:rPr>
      </w:pPr>
      <w:r>
        <w:rPr>
          <w:rFonts w:hint="eastAsia" w:cs="仿宋"/>
          <w:highlight w:val="none"/>
        </w:rPr>
        <w:t>1.9.1详见投标人须知前附表</w:t>
      </w:r>
    </w:p>
    <w:p w14:paraId="7E452471">
      <w:pPr>
        <w:pStyle w:val="58"/>
        <w:shd w:val="clear"/>
        <w:rPr>
          <w:highlight w:val="none"/>
        </w:rPr>
      </w:pPr>
      <w:bookmarkStart w:id="57" w:name="_Toc507936023"/>
      <w:bookmarkStart w:id="58" w:name="_Toc506105828"/>
      <w:r>
        <w:rPr>
          <w:rFonts w:hint="eastAsia"/>
          <w:highlight w:val="none"/>
        </w:rPr>
        <w:t>1.10 招标预备会</w:t>
      </w:r>
      <w:bookmarkEnd w:id="57"/>
      <w:bookmarkEnd w:id="58"/>
    </w:p>
    <w:p w14:paraId="7EDA1F42">
      <w:pPr>
        <w:shd w:val="clear"/>
        <w:spacing w:line="360" w:lineRule="auto"/>
        <w:ind w:firstLine="480" w:firstLineChars="200"/>
        <w:rPr>
          <w:rFonts w:hint="eastAsia" w:cs="仿宋"/>
          <w:highlight w:val="none"/>
        </w:rPr>
      </w:pPr>
      <w:r>
        <w:rPr>
          <w:rFonts w:hint="eastAsia" w:cs="仿宋"/>
          <w:highlight w:val="none"/>
        </w:rPr>
        <w:t>1.10.1招标人不召开招标预备会。</w:t>
      </w:r>
    </w:p>
    <w:p w14:paraId="607806AF">
      <w:pPr>
        <w:pStyle w:val="58"/>
        <w:shd w:val="clear"/>
        <w:rPr>
          <w:rFonts w:hint="eastAsia"/>
          <w:highlight w:val="none"/>
        </w:rPr>
      </w:pPr>
      <w:r>
        <w:rPr>
          <w:rFonts w:hint="eastAsia"/>
          <w:highlight w:val="none"/>
        </w:rPr>
        <w:t>1.11响应和偏差</w:t>
      </w:r>
    </w:p>
    <w:p w14:paraId="36248DBF">
      <w:pPr>
        <w:shd w:val="clear"/>
        <w:spacing w:line="360" w:lineRule="auto"/>
        <w:ind w:firstLine="480" w:firstLineChars="200"/>
        <w:rPr>
          <w:rFonts w:hint="eastAsia" w:cs="仿宋"/>
          <w:highlight w:val="none"/>
        </w:rPr>
      </w:pPr>
      <w:r>
        <w:rPr>
          <w:rFonts w:hint="eastAsia" w:cs="仿宋"/>
          <w:highlight w:val="none"/>
        </w:rPr>
        <w:t>1.11.1投标文件应当对招标文件的实质性要求和条件作出满足性或更有利于招标人的响应，否则，投标人的投标将被否决。实质性要求和条件见投标人须知前附表。</w:t>
      </w:r>
    </w:p>
    <w:p w14:paraId="104E678D">
      <w:pPr>
        <w:shd w:val="clear"/>
        <w:spacing w:line="360" w:lineRule="auto"/>
        <w:ind w:firstLine="480" w:firstLineChars="200"/>
        <w:rPr>
          <w:rFonts w:hint="eastAsia" w:cs="仿宋"/>
          <w:highlight w:val="none"/>
        </w:rPr>
      </w:pPr>
      <w:r>
        <w:rPr>
          <w:rFonts w:hint="eastAsia" w:cs="仿宋"/>
          <w:highlight w:val="none"/>
        </w:rPr>
        <w:t>1.11.2投标人应根据招标文件的要求提供投标设备技术性能指标的详细描述、技术支持资料及技术服务和质保期服务计划等内容以对招标文件作出响应。</w:t>
      </w:r>
    </w:p>
    <w:p w14:paraId="7E09B73A">
      <w:pPr>
        <w:shd w:val="clear"/>
        <w:spacing w:line="360" w:lineRule="auto"/>
        <w:ind w:firstLine="480" w:firstLineChars="200"/>
        <w:rPr>
          <w:rFonts w:hint="eastAsia" w:cs="仿宋"/>
          <w:highlight w:val="none"/>
        </w:rPr>
      </w:pPr>
      <w:r>
        <w:rPr>
          <w:rFonts w:hint="eastAsia" w:cs="仿宋"/>
          <w:highlight w:val="none"/>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4529D077">
      <w:pPr>
        <w:shd w:val="clear"/>
        <w:spacing w:line="360" w:lineRule="auto"/>
        <w:ind w:firstLine="480" w:firstLineChars="200"/>
        <w:rPr>
          <w:rFonts w:hint="eastAsia" w:cs="仿宋"/>
          <w:highlight w:val="none"/>
        </w:rPr>
      </w:pPr>
      <w:r>
        <w:rPr>
          <w:rFonts w:hint="eastAsia" w:cs="仿宋"/>
          <w:highlight w:val="none"/>
        </w:rPr>
        <w:t>1.11.4投标人须知前附表规定了可以偏差的范围和最高偏差项数的，偏差应当符合投标人须知前附表规定的偏差范围和最高项数，超出偏差范围和最高偏差项数的投标将被否决。</w:t>
      </w:r>
    </w:p>
    <w:p w14:paraId="48356528">
      <w:pPr>
        <w:shd w:val="clear"/>
        <w:spacing w:line="360" w:lineRule="auto"/>
        <w:ind w:firstLine="480" w:firstLineChars="200"/>
        <w:rPr>
          <w:rFonts w:hint="eastAsia" w:cs="仿宋"/>
          <w:highlight w:val="none"/>
        </w:rPr>
      </w:pPr>
      <w:r>
        <w:rPr>
          <w:rFonts w:hint="eastAsia" w:cs="仿宋"/>
          <w:highlight w:val="none"/>
        </w:rPr>
        <w:t>1.11.5投标文件对招标文件的全部偏差，均应在投标文件的商务和技术偏差表中列明，除列明的内容外，视为投标人响应招标文件的全部要求。</w:t>
      </w:r>
    </w:p>
    <w:p w14:paraId="57EED84E">
      <w:pPr>
        <w:pStyle w:val="63"/>
        <w:shd w:val="clear"/>
        <w:rPr>
          <w:rStyle w:val="95"/>
          <w:b/>
          <w:bCs/>
          <w:highlight w:val="none"/>
        </w:rPr>
      </w:pPr>
      <w:bookmarkStart w:id="59" w:name="_Toc507936024"/>
      <w:r>
        <w:rPr>
          <w:rStyle w:val="95"/>
          <w:rFonts w:hint="eastAsia"/>
          <w:b/>
          <w:bCs/>
          <w:highlight w:val="none"/>
        </w:rPr>
        <w:t>2.招标文件</w:t>
      </w:r>
      <w:bookmarkEnd w:id="59"/>
    </w:p>
    <w:p w14:paraId="615960B9">
      <w:pPr>
        <w:pStyle w:val="58"/>
        <w:shd w:val="clear"/>
        <w:rPr>
          <w:highlight w:val="none"/>
        </w:rPr>
      </w:pPr>
      <w:bookmarkStart w:id="60" w:name="_Toc507936025"/>
      <w:bookmarkStart w:id="61" w:name="_Toc506105830"/>
      <w:r>
        <w:rPr>
          <w:rFonts w:hint="eastAsia"/>
          <w:highlight w:val="none"/>
        </w:rPr>
        <w:t>2.1 招标文件的内容</w:t>
      </w:r>
      <w:bookmarkEnd w:id="60"/>
      <w:bookmarkEnd w:id="61"/>
      <w:r>
        <w:rPr>
          <w:rFonts w:hint="eastAsia"/>
          <w:highlight w:val="none"/>
        </w:rPr>
        <w:t>和发布</w:t>
      </w:r>
    </w:p>
    <w:p w14:paraId="62C62653">
      <w:pPr>
        <w:shd w:val="clear"/>
        <w:spacing w:line="360" w:lineRule="auto"/>
        <w:ind w:firstLine="480" w:firstLineChars="200"/>
        <w:rPr>
          <w:rFonts w:cs="仿宋"/>
          <w:highlight w:val="none"/>
        </w:rPr>
      </w:pPr>
      <w:r>
        <w:rPr>
          <w:rFonts w:hint="eastAsia" w:cs="仿宋"/>
          <w:highlight w:val="none"/>
        </w:rPr>
        <w:t>2.1.1招标文件包括：</w:t>
      </w:r>
    </w:p>
    <w:p w14:paraId="539975EA">
      <w:pPr>
        <w:shd w:val="clear"/>
        <w:spacing w:line="360" w:lineRule="auto"/>
        <w:ind w:firstLine="480" w:firstLineChars="200"/>
        <w:rPr>
          <w:rFonts w:cs="仿宋"/>
          <w:highlight w:val="none"/>
        </w:rPr>
      </w:pPr>
      <w:r>
        <w:rPr>
          <w:rFonts w:hint="eastAsia" w:cs="仿宋"/>
          <w:highlight w:val="none"/>
        </w:rPr>
        <w:t>（1）招标公告</w:t>
      </w:r>
    </w:p>
    <w:p w14:paraId="62F73D1F">
      <w:pPr>
        <w:shd w:val="clear"/>
        <w:spacing w:line="360" w:lineRule="auto"/>
        <w:ind w:firstLine="480" w:firstLineChars="200"/>
        <w:rPr>
          <w:rFonts w:cs="仿宋"/>
          <w:highlight w:val="none"/>
        </w:rPr>
      </w:pPr>
      <w:r>
        <w:rPr>
          <w:rFonts w:hint="eastAsia" w:cs="仿宋"/>
          <w:highlight w:val="none"/>
        </w:rPr>
        <w:t>（2）招标人须知</w:t>
      </w:r>
    </w:p>
    <w:p w14:paraId="3A5C13D4">
      <w:pPr>
        <w:shd w:val="clear"/>
        <w:spacing w:line="360" w:lineRule="auto"/>
        <w:ind w:firstLine="480" w:firstLineChars="200"/>
        <w:rPr>
          <w:rFonts w:cs="仿宋"/>
          <w:highlight w:val="none"/>
        </w:rPr>
      </w:pPr>
      <w:r>
        <w:rPr>
          <w:rFonts w:hint="eastAsia" w:cs="仿宋"/>
          <w:highlight w:val="none"/>
        </w:rPr>
        <w:t>（3）评标办法</w:t>
      </w:r>
    </w:p>
    <w:p w14:paraId="24EB1122">
      <w:pPr>
        <w:shd w:val="clear"/>
        <w:spacing w:line="360" w:lineRule="auto"/>
        <w:ind w:firstLine="480" w:firstLineChars="200"/>
        <w:rPr>
          <w:rFonts w:cs="仿宋"/>
          <w:highlight w:val="none"/>
        </w:rPr>
      </w:pPr>
      <w:r>
        <w:rPr>
          <w:rFonts w:hint="eastAsia" w:cs="仿宋"/>
          <w:highlight w:val="none"/>
        </w:rPr>
        <w:t>（4）合同及附件</w:t>
      </w:r>
    </w:p>
    <w:p w14:paraId="6E559B4E">
      <w:pPr>
        <w:shd w:val="clear"/>
        <w:spacing w:line="360" w:lineRule="auto"/>
        <w:ind w:firstLine="480" w:firstLineChars="200"/>
        <w:rPr>
          <w:rFonts w:cs="仿宋"/>
          <w:highlight w:val="none"/>
        </w:rPr>
      </w:pPr>
      <w:r>
        <w:rPr>
          <w:rFonts w:hint="eastAsia" w:cs="仿宋"/>
          <w:highlight w:val="none"/>
        </w:rPr>
        <w:t>（5）投标文件格式及内容</w:t>
      </w:r>
    </w:p>
    <w:p w14:paraId="52E022D0">
      <w:pPr>
        <w:shd w:val="clear"/>
        <w:spacing w:line="360" w:lineRule="auto"/>
        <w:ind w:firstLine="480" w:firstLineChars="200"/>
        <w:rPr>
          <w:rFonts w:cs="仿宋"/>
          <w:highlight w:val="none"/>
        </w:rPr>
      </w:pPr>
      <w:r>
        <w:rPr>
          <w:rFonts w:hint="eastAsia" w:cs="仿宋"/>
          <w:highlight w:val="none"/>
        </w:rPr>
        <w:t>（6）需求一览表</w:t>
      </w:r>
    </w:p>
    <w:p w14:paraId="4D0F90F8">
      <w:pPr>
        <w:shd w:val="clear"/>
        <w:spacing w:line="360" w:lineRule="auto"/>
        <w:ind w:firstLine="480" w:firstLineChars="200"/>
        <w:rPr>
          <w:rFonts w:hint="eastAsia" w:cs="仿宋"/>
          <w:highlight w:val="none"/>
        </w:rPr>
      </w:pPr>
      <w:r>
        <w:rPr>
          <w:rFonts w:hint="eastAsia" w:cs="仿宋"/>
          <w:highlight w:val="none"/>
        </w:rPr>
        <w:t>（7）技术规范</w:t>
      </w:r>
    </w:p>
    <w:p w14:paraId="4A7B3838">
      <w:pPr>
        <w:shd w:val="clear"/>
        <w:spacing w:line="360" w:lineRule="auto"/>
        <w:ind w:firstLine="480" w:firstLineChars="200"/>
        <w:rPr>
          <w:rFonts w:cs="仿宋"/>
          <w:highlight w:val="none"/>
        </w:rPr>
      </w:pPr>
      <w:r>
        <w:rPr>
          <w:rFonts w:hint="eastAsia" w:cs="仿宋"/>
          <w:highlight w:val="none"/>
        </w:rPr>
        <w:t>（8）</w:t>
      </w:r>
      <w:r>
        <w:rPr>
          <w:rFonts w:hint="eastAsia"/>
          <w:highlight w:val="none"/>
        </w:rPr>
        <w:t>投标人须知前附表规定的其他材料</w:t>
      </w:r>
    </w:p>
    <w:p w14:paraId="4A6EFD1D">
      <w:pPr>
        <w:shd w:val="clear"/>
        <w:spacing w:line="360" w:lineRule="auto"/>
        <w:ind w:firstLine="480" w:firstLineChars="200"/>
        <w:rPr>
          <w:rFonts w:cs="仿宋"/>
          <w:highlight w:val="none"/>
        </w:rPr>
      </w:pPr>
      <w:r>
        <w:rPr>
          <w:rFonts w:hint="eastAsia" w:cs="仿宋"/>
          <w:highlight w:val="none"/>
        </w:rPr>
        <w:t>根据本章第1.10款、第2.2款和第2.3款对招标文件所作的澄清、修改，构成招标文件的组成部分。</w:t>
      </w:r>
    </w:p>
    <w:p w14:paraId="28D77EB5">
      <w:pPr>
        <w:shd w:val="clear"/>
        <w:spacing w:line="360" w:lineRule="auto"/>
        <w:ind w:firstLine="480" w:firstLineChars="200"/>
        <w:rPr>
          <w:rFonts w:hint="eastAsia" w:cs="仿宋"/>
          <w:highlight w:val="none"/>
        </w:rPr>
      </w:pPr>
      <w:r>
        <w:rPr>
          <w:rFonts w:hint="eastAsia" w:cs="仿宋"/>
          <w:highlight w:val="none"/>
        </w:rPr>
        <w:t>2.1.2若招标文件中不同章节对同一内容叙述有差异的，性能、参数以技术要求为准；投标人资格要求、交货期、交货地点、质保期以</w:t>
      </w:r>
      <w:r>
        <w:rPr>
          <w:rFonts w:hint="eastAsia"/>
          <w:highlight w:val="none"/>
        </w:rPr>
        <w:t>投标人须知前附表</w:t>
      </w:r>
      <w:r>
        <w:rPr>
          <w:rFonts w:hint="eastAsia" w:cs="仿宋"/>
          <w:highlight w:val="none"/>
        </w:rPr>
        <w:t>为准。</w:t>
      </w:r>
    </w:p>
    <w:p w14:paraId="70291C2C">
      <w:pPr>
        <w:pStyle w:val="2"/>
        <w:shd w:val="clear"/>
        <w:spacing w:line="360" w:lineRule="auto"/>
        <w:ind w:left="0" w:leftChars="0" w:firstLine="480"/>
        <w:rPr>
          <w:rFonts w:ascii="宋体" w:hAnsi="宋体" w:cs="仿宋"/>
          <w:highlight w:val="none"/>
        </w:rPr>
      </w:pPr>
      <w:r>
        <w:rPr>
          <w:rFonts w:hint="eastAsia" w:ascii="宋体" w:hAnsi="宋体" w:cs="仿宋"/>
          <w:highlight w:val="none"/>
        </w:rPr>
        <w:t>2.1.3本招标文件在济钢集团有限公司阳光购销平台（网址：</w:t>
      </w:r>
      <w:r>
        <w:rPr>
          <w:rFonts w:hint="eastAsia" w:ascii="宋体" w:hAnsi="宋体" w:cs="仿宋"/>
          <w:highlight w:val="none"/>
        </w:rPr>
        <w:fldChar w:fldCharType="begin"/>
      </w:r>
      <w:r>
        <w:rPr>
          <w:rFonts w:hint="eastAsia" w:ascii="宋体" w:hAnsi="宋体" w:cs="仿宋"/>
          <w:highlight w:val="none"/>
        </w:rPr>
        <w:instrText xml:space="preserve"> HYPERLINK "http://bidding.jigang.com.cn" </w:instrText>
      </w:r>
      <w:r>
        <w:rPr>
          <w:rFonts w:hint="eastAsia" w:ascii="宋体" w:hAnsi="宋体" w:cs="仿宋"/>
          <w:highlight w:val="none"/>
        </w:rPr>
        <w:fldChar w:fldCharType="separate"/>
      </w:r>
      <w:r>
        <w:rPr>
          <w:rFonts w:hint="eastAsia" w:ascii="宋体" w:hAnsi="宋体" w:cs="仿宋"/>
          <w:highlight w:val="none"/>
        </w:rPr>
        <w:t>http://bidding.jigang.com.cn</w:t>
      </w:r>
      <w:r>
        <w:rPr>
          <w:rFonts w:hint="eastAsia" w:ascii="宋体" w:hAnsi="宋体" w:cs="仿宋"/>
          <w:highlight w:val="none"/>
        </w:rPr>
        <w:fldChar w:fldCharType="end"/>
      </w:r>
      <w:r>
        <w:rPr>
          <w:rFonts w:hint="eastAsia" w:ascii="宋体" w:hAnsi="宋体" w:cs="仿宋"/>
          <w:highlight w:val="none"/>
        </w:rPr>
        <w:t>/） 上发布。除上述媒介以外的媒介转载或发布与本次招标相关信息的，招标人不承担任何责任并保留追究相关方责任的权利。</w:t>
      </w:r>
    </w:p>
    <w:p w14:paraId="2FF82DB6">
      <w:pPr>
        <w:pStyle w:val="58"/>
        <w:shd w:val="clear"/>
        <w:rPr>
          <w:highlight w:val="none"/>
        </w:rPr>
      </w:pPr>
      <w:bookmarkStart w:id="62" w:name="_Toc507936026"/>
      <w:bookmarkStart w:id="63" w:name="_Toc506105831"/>
      <w:r>
        <w:rPr>
          <w:rFonts w:hint="eastAsia"/>
          <w:highlight w:val="none"/>
        </w:rPr>
        <w:t>2.2 招标文件的澄清</w:t>
      </w:r>
      <w:bookmarkEnd w:id="62"/>
      <w:bookmarkEnd w:id="63"/>
    </w:p>
    <w:p w14:paraId="4B1D1600">
      <w:pPr>
        <w:shd w:val="clear"/>
        <w:spacing w:line="360" w:lineRule="auto"/>
        <w:ind w:firstLine="480" w:firstLineChars="200"/>
        <w:rPr>
          <w:rFonts w:cs="仿宋"/>
          <w:highlight w:val="none"/>
        </w:rPr>
      </w:pPr>
      <w:r>
        <w:rPr>
          <w:rFonts w:hint="eastAsia" w:cs="仿宋"/>
          <w:highlight w:val="none"/>
        </w:rPr>
        <w:t>2.2.1投标人应仔细阅读和检查招标文件的全部内容。如发现缺页或者附件不全，应及时向招标人提出，以便补齐。</w:t>
      </w:r>
    </w:p>
    <w:p w14:paraId="1A03BF9B">
      <w:pPr>
        <w:shd w:val="clear"/>
        <w:spacing w:line="360" w:lineRule="auto"/>
        <w:ind w:firstLine="480" w:firstLineChars="200"/>
        <w:rPr>
          <w:rFonts w:hint="eastAsia"/>
          <w:highlight w:val="none"/>
        </w:rPr>
      </w:pPr>
      <w:r>
        <w:rPr>
          <w:rFonts w:hint="eastAsia" w:cs="仿宋"/>
          <w:highlight w:val="none"/>
        </w:rPr>
        <w:t>2.2.2招标文件的澄清：详见投标人须知前附表</w:t>
      </w:r>
    </w:p>
    <w:p w14:paraId="3E8F1FBE">
      <w:pPr>
        <w:pStyle w:val="58"/>
        <w:shd w:val="clear"/>
        <w:rPr>
          <w:rFonts w:hint="eastAsia"/>
          <w:highlight w:val="none"/>
        </w:rPr>
      </w:pPr>
      <w:bookmarkStart w:id="64" w:name="_Toc507936027"/>
      <w:bookmarkStart w:id="65" w:name="_Toc506105832"/>
      <w:r>
        <w:rPr>
          <w:rFonts w:hint="eastAsia"/>
          <w:highlight w:val="none"/>
        </w:rPr>
        <w:t>2.3 招标文件的修改</w:t>
      </w:r>
      <w:bookmarkEnd w:id="64"/>
      <w:bookmarkEnd w:id="65"/>
    </w:p>
    <w:p w14:paraId="6A3C7DF2">
      <w:pPr>
        <w:shd w:val="clear"/>
        <w:spacing w:line="360" w:lineRule="auto"/>
        <w:ind w:firstLine="480" w:firstLineChars="200"/>
        <w:rPr>
          <w:rFonts w:hint="eastAsia" w:cs="仿宋"/>
          <w:highlight w:val="none"/>
        </w:rPr>
      </w:pPr>
      <w:r>
        <w:rPr>
          <w:rFonts w:hint="eastAsia" w:cs="仿宋"/>
          <w:highlight w:val="none"/>
        </w:rPr>
        <w:t>详见投标人须知前附表</w:t>
      </w:r>
    </w:p>
    <w:p w14:paraId="5863029F">
      <w:pPr>
        <w:pStyle w:val="58"/>
        <w:shd w:val="clear"/>
        <w:rPr>
          <w:highlight w:val="none"/>
        </w:rPr>
      </w:pPr>
      <w:bookmarkStart w:id="66" w:name="_Toc507936028"/>
      <w:bookmarkStart w:id="67" w:name="_Toc506105833"/>
      <w:r>
        <w:rPr>
          <w:rFonts w:hint="eastAsia"/>
          <w:highlight w:val="none"/>
        </w:rPr>
        <w:t>2.4对招标文件的异议</w:t>
      </w:r>
      <w:bookmarkEnd w:id="66"/>
      <w:bookmarkEnd w:id="67"/>
    </w:p>
    <w:p w14:paraId="464E6A8A">
      <w:pPr>
        <w:shd w:val="clear"/>
        <w:spacing w:line="360" w:lineRule="auto"/>
        <w:ind w:firstLine="480" w:firstLineChars="200"/>
        <w:rPr>
          <w:rFonts w:hint="eastAsia" w:cs="仿宋"/>
          <w:highlight w:val="none"/>
        </w:rPr>
      </w:pPr>
      <w:r>
        <w:rPr>
          <w:rFonts w:hint="eastAsia" w:cs="仿宋"/>
          <w:highlight w:val="none"/>
        </w:rPr>
        <w:t>投标人对招标文件有异议的，应当在递交投标文件截止之日7天前提出。招标人自收到异议之日起3日内做出答复；若异议和答复内容影响招标文件编制的，按照本章第2.3款的规定相应延长开标时间。</w:t>
      </w:r>
    </w:p>
    <w:p w14:paraId="0894AADA">
      <w:pPr>
        <w:shd w:val="clear"/>
        <w:spacing w:line="360" w:lineRule="auto"/>
        <w:jc w:val="center"/>
        <w:rPr>
          <w:rStyle w:val="95"/>
          <w:rFonts w:hint="eastAsia"/>
          <w:highlight w:val="none"/>
        </w:rPr>
      </w:pPr>
      <w:r>
        <w:rPr>
          <w:rStyle w:val="95"/>
          <w:rFonts w:hint="eastAsia"/>
          <w:highlight w:val="none"/>
        </w:rPr>
        <w:t>3、投标文件</w:t>
      </w:r>
    </w:p>
    <w:p w14:paraId="178E2034">
      <w:pPr>
        <w:pStyle w:val="58"/>
        <w:shd w:val="clear"/>
        <w:rPr>
          <w:highlight w:val="none"/>
        </w:rPr>
      </w:pPr>
      <w:bookmarkStart w:id="68" w:name="_Toc507936029"/>
      <w:bookmarkStart w:id="69" w:name="_Toc506105835"/>
      <w:r>
        <w:rPr>
          <w:rFonts w:hint="eastAsia"/>
          <w:highlight w:val="none"/>
        </w:rPr>
        <w:t>3.1 投标文件的组成</w:t>
      </w:r>
      <w:bookmarkEnd w:id="68"/>
      <w:bookmarkEnd w:id="69"/>
    </w:p>
    <w:p w14:paraId="3D4F95FB">
      <w:pPr>
        <w:shd w:val="clear"/>
        <w:spacing w:line="360" w:lineRule="auto"/>
        <w:ind w:firstLine="480" w:firstLineChars="200"/>
        <w:rPr>
          <w:rFonts w:cs="仿宋"/>
          <w:highlight w:val="none"/>
        </w:rPr>
      </w:pPr>
      <w:r>
        <w:rPr>
          <w:rFonts w:hint="eastAsia" w:cs="仿宋"/>
          <w:highlight w:val="none"/>
        </w:rPr>
        <w:t>3.1.1投标文件包括下列内容：</w:t>
      </w:r>
    </w:p>
    <w:p w14:paraId="3CF86DD1">
      <w:pPr>
        <w:shd w:val="clear"/>
        <w:spacing w:line="360" w:lineRule="auto"/>
        <w:ind w:firstLine="480" w:firstLineChars="200"/>
        <w:rPr>
          <w:rFonts w:cs="仿宋"/>
          <w:highlight w:val="none"/>
        </w:rPr>
      </w:pPr>
      <w:r>
        <w:rPr>
          <w:rFonts w:hint="eastAsia" w:cs="仿宋"/>
          <w:highlight w:val="none"/>
        </w:rPr>
        <w:t>第一部分  商务部分</w:t>
      </w:r>
    </w:p>
    <w:p w14:paraId="10B4213D">
      <w:pPr>
        <w:shd w:val="clear"/>
        <w:spacing w:line="360" w:lineRule="auto"/>
        <w:ind w:firstLine="480" w:firstLineChars="200"/>
        <w:rPr>
          <w:rFonts w:cs="仿宋"/>
          <w:highlight w:val="none"/>
        </w:rPr>
      </w:pPr>
      <w:r>
        <w:rPr>
          <w:rFonts w:hint="eastAsia" w:cs="仿宋"/>
          <w:highlight w:val="none"/>
        </w:rPr>
        <w:t>（1）报价函</w:t>
      </w:r>
    </w:p>
    <w:p w14:paraId="48C5ABB1">
      <w:pPr>
        <w:shd w:val="clear"/>
        <w:spacing w:line="360" w:lineRule="auto"/>
        <w:ind w:firstLine="480" w:firstLineChars="200"/>
        <w:rPr>
          <w:rFonts w:cs="仿宋"/>
          <w:highlight w:val="none"/>
        </w:rPr>
      </w:pPr>
      <w:r>
        <w:rPr>
          <w:rFonts w:hint="eastAsia" w:cs="仿宋"/>
          <w:highlight w:val="none"/>
        </w:rPr>
        <w:t>（2）授权委托书</w:t>
      </w:r>
    </w:p>
    <w:p w14:paraId="7F6825F1">
      <w:pPr>
        <w:shd w:val="clear"/>
        <w:spacing w:line="360" w:lineRule="auto"/>
        <w:ind w:firstLine="480" w:firstLineChars="200"/>
        <w:rPr>
          <w:rFonts w:cs="仿宋"/>
          <w:highlight w:val="none"/>
        </w:rPr>
      </w:pPr>
      <w:r>
        <w:rPr>
          <w:rFonts w:hint="eastAsia" w:cs="仿宋"/>
          <w:highlight w:val="none"/>
        </w:rPr>
        <w:t>（3）投标保证金</w:t>
      </w:r>
    </w:p>
    <w:p w14:paraId="4CBD487B">
      <w:pPr>
        <w:shd w:val="clear"/>
        <w:spacing w:line="360" w:lineRule="auto"/>
        <w:ind w:firstLine="480" w:firstLineChars="200"/>
        <w:rPr>
          <w:rFonts w:cs="仿宋"/>
          <w:highlight w:val="none"/>
        </w:rPr>
      </w:pPr>
      <w:r>
        <w:rPr>
          <w:rFonts w:hint="eastAsia" w:cs="仿宋"/>
          <w:highlight w:val="none"/>
        </w:rPr>
        <w:t>（4）资格审查资料</w:t>
      </w:r>
    </w:p>
    <w:p w14:paraId="289E8761">
      <w:pPr>
        <w:shd w:val="clear"/>
        <w:spacing w:line="360" w:lineRule="auto"/>
        <w:ind w:firstLine="480" w:firstLineChars="200"/>
        <w:rPr>
          <w:rFonts w:cs="仿宋"/>
          <w:highlight w:val="none"/>
        </w:rPr>
      </w:pPr>
      <w:r>
        <w:rPr>
          <w:rFonts w:hint="eastAsia" w:cs="仿宋"/>
          <w:highlight w:val="none"/>
        </w:rPr>
        <w:t>（5）报价表</w:t>
      </w:r>
    </w:p>
    <w:p w14:paraId="7D5821DE">
      <w:pPr>
        <w:shd w:val="clear"/>
        <w:spacing w:line="360" w:lineRule="auto"/>
        <w:ind w:firstLine="480" w:firstLineChars="200"/>
        <w:rPr>
          <w:rFonts w:cs="仿宋"/>
          <w:highlight w:val="none"/>
        </w:rPr>
      </w:pPr>
      <w:r>
        <w:rPr>
          <w:rFonts w:hint="eastAsia" w:cs="仿宋"/>
          <w:highlight w:val="none"/>
        </w:rPr>
        <w:t>（6）商务偏差表</w:t>
      </w:r>
    </w:p>
    <w:p w14:paraId="7CE7B2AE">
      <w:pPr>
        <w:shd w:val="clear"/>
        <w:spacing w:line="360" w:lineRule="auto"/>
        <w:ind w:firstLine="480" w:firstLineChars="200"/>
        <w:rPr>
          <w:rFonts w:cs="仿宋"/>
          <w:highlight w:val="none"/>
        </w:rPr>
      </w:pPr>
      <w:r>
        <w:rPr>
          <w:rFonts w:hint="eastAsia" w:cs="仿宋"/>
          <w:highlight w:val="none"/>
        </w:rPr>
        <w:t>（7）无行贿犯罪记录证明材料</w:t>
      </w:r>
    </w:p>
    <w:p w14:paraId="7D8B4E05">
      <w:pPr>
        <w:shd w:val="clear"/>
        <w:spacing w:line="360" w:lineRule="auto"/>
        <w:ind w:firstLine="480" w:firstLineChars="200"/>
        <w:rPr>
          <w:rFonts w:cs="仿宋"/>
          <w:highlight w:val="none"/>
        </w:rPr>
      </w:pPr>
      <w:r>
        <w:rPr>
          <w:rFonts w:hint="eastAsia" w:cs="仿宋"/>
          <w:highlight w:val="none"/>
        </w:rPr>
        <w:t>（8）投标人认为应补充的其它商务资料</w:t>
      </w:r>
    </w:p>
    <w:p w14:paraId="74C6F35A">
      <w:pPr>
        <w:shd w:val="clear"/>
        <w:spacing w:line="360" w:lineRule="auto"/>
        <w:ind w:firstLine="480" w:firstLineChars="200"/>
        <w:rPr>
          <w:rFonts w:cs="仿宋"/>
          <w:highlight w:val="none"/>
        </w:rPr>
      </w:pPr>
      <w:r>
        <w:rPr>
          <w:rFonts w:hint="eastAsia" w:cs="仿宋"/>
          <w:highlight w:val="none"/>
        </w:rPr>
        <w:t>第二部分  技术部分</w:t>
      </w:r>
    </w:p>
    <w:p w14:paraId="4BA24828">
      <w:pPr>
        <w:shd w:val="clear"/>
        <w:spacing w:line="360" w:lineRule="auto"/>
        <w:ind w:left="480"/>
        <w:rPr>
          <w:rFonts w:cs="仿宋"/>
          <w:highlight w:val="none"/>
        </w:rPr>
      </w:pPr>
      <w:r>
        <w:rPr>
          <w:rFonts w:hint="eastAsia" w:cs="仿宋"/>
          <w:highlight w:val="none"/>
        </w:rPr>
        <w:t>（1）招标内容</w:t>
      </w:r>
    </w:p>
    <w:p w14:paraId="1C9B376E">
      <w:pPr>
        <w:shd w:val="clear"/>
        <w:spacing w:line="360" w:lineRule="auto"/>
        <w:ind w:left="480"/>
        <w:rPr>
          <w:rFonts w:cs="仿宋"/>
          <w:highlight w:val="none"/>
        </w:rPr>
      </w:pPr>
      <w:r>
        <w:rPr>
          <w:rFonts w:hint="eastAsia" w:cs="仿宋"/>
          <w:highlight w:val="none"/>
        </w:rPr>
        <w:t>（2）交货计划表</w:t>
      </w:r>
    </w:p>
    <w:p w14:paraId="2BDE18DA">
      <w:pPr>
        <w:shd w:val="clear"/>
        <w:spacing w:line="360" w:lineRule="auto"/>
        <w:ind w:left="480"/>
        <w:rPr>
          <w:rFonts w:cs="仿宋"/>
          <w:highlight w:val="none"/>
        </w:rPr>
      </w:pPr>
      <w:r>
        <w:rPr>
          <w:rFonts w:hint="eastAsia" w:cs="仿宋"/>
          <w:highlight w:val="none"/>
        </w:rPr>
        <w:t>（3）技术要求</w:t>
      </w:r>
    </w:p>
    <w:p w14:paraId="57A0D1C6">
      <w:pPr>
        <w:shd w:val="clear"/>
        <w:spacing w:line="360" w:lineRule="auto"/>
        <w:ind w:left="480"/>
        <w:rPr>
          <w:rFonts w:hint="eastAsia" w:cs="仿宋"/>
          <w:highlight w:val="none"/>
        </w:rPr>
      </w:pPr>
      <w:r>
        <w:rPr>
          <w:rFonts w:hint="eastAsia" w:cs="仿宋"/>
          <w:highlight w:val="none"/>
        </w:rPr>
        <w:t>（4）技术偏差表</w:t>
      </w:r>
    </w:p>
    <w:p w14:paraId="2E8E96AC">
      <w:pPr>
        <w:pStyle w:val="2"/>
        <w:shd w:val="clear"/>
        <w:ind w:left="0" w:leftChars="0" w:firstLine="480"/>
        <w:rPr>
          <w:highlight w:val="none"/>
        </w:rPr>
      </w:pPr>
      <w:r>
        <w:rPr>
          <w:rFonts w:hint="eastAsia" w:ascii="宋体" w:hAnsi="宋体" w:cs="仿宋"/>
          <w:highlight w:val="none"/>
        </w:rPr>
        <w:t>（5）</w:t>
      </w:r>
      <w:r>
        <w:rPr>
          <w:rFonts w:hint="eastAsia" w:cs="仿宋"/>
          <w:highlight w:val="none"/>
        </w:rPr>
        <w:t>投标人</w:t>
      </w:r>
      <w:r>
        <w:rPr>
          <w:rFonts w:hint="eastAsia" w:ascii="宋体" w:hAnsi="宋体" w:cs="仿宋"/>
          <w:highlight w:val="none"/>
        </w:rPr>
        <w:t>认为应补充的其它技术资料</w:t>
      </w:r>
    </w:p>
    <w:p w14:paraId="4FDDB30F">
      <w:pPr>
        <w:pStyle w:val="58"/>
        <w:shd w:val="clear"/>
        <w:rPr>
          <w:highlight w:val="none"/>
        </w:rPr>
      </w:pPr>
      <w:bookmarkStart w:id="70" w:name="_Toc507936030"/>
      <w:bookmarkStart w:id="71" w:name="_Toc506105836"/>
      <w:bookmarkStart w:id="72" w:name="_Toc406766394"/>
      <w:r>
        <w:rPr>
          <w:rFonts w:hint="eastAsia"/>
          <w:highlight w:val="none"/>
        </w:rPr>
        <w:t>3.2 报价</w:t>
      </w:r>
      <w:bookmarkEnd w:id="70"/>
      <w:bookmarkEnd w:id="71"/>
      <w:bookmarkEnd w:id="72"/>
    </w:p>
    <w:p w14:paraId="2A0CABBB">
      <w:pPr>
        <w:shd w:val="clear"/>
        <w:spacing w:line="360" w:lineRule="auto"/>
        <w:ind w:firstLine="480" w:firstLineChars="200"/>
        <w:rPr>
          <w:rFonts w:hint="eastAsia" w:cs="仿宋"/>
          <w:highlight w:val="none"/>
        </w:rPr>
      </w:pPr>
      <w:r>
        <w:rPr>
          <w:rFonts w:hint="eastAsia" w:cs="仿宋"/>
          <w:highlight w:val="none"/>
        </w:rPr>
        <w:t>3.2.1 报价方式：投标总价；</w:t>
      </w:r>
      <w:r>
        <w:rPr>
          <w:rFonts w:hint="eastAsia"/>
          <w:highlight w:val="none"/>
        </w:rPr>
        <w:t>报价币种：人民币；报价为</w:t>
      </w:r>
      <w:r>
        <w:rPr>
          <w:rFonts w:hint="eastAsia"/>
          <w:highlight w:val="none"/>
          <w:lang w:val="en-US" w:eastAsia="zh-CN"/>
        </w:rPr>
        <w:t>含</w:t>
      </w:r>
      <w:r>
        <w:rPr>
          <w:rFonts w:hint="eastAsia"/>
          <w:highlight w:val="none"/>
        </w:rPr>
        <w:t>增值税专用发票价格。</w:t>
      </w:r>
    </w:p>
    <w:p w14:paraId="0615B809">
      <w:pPr>
        <w:shd w:val="clear"/>
        <w:spacing w:line="360" w:lineRule="auto"/>
        <w:ind w:firstLine="480" w:firstLineChars="200"/>
        <w:rPr>
          <w:rFonts w:cs="仿宋"/>
          <w:highlight w:val="none"/>
        </w:rPr>
      </w:pPr>
      <w:r>
        <w:rPr>
          <w:rFonts w:hint="eastAsia" w:cs="仿宋"/>
          <w:highlight w:val="none"/>
        </w:rPr>
        <w:t>3.2.2 投标人在招标开始时间前修改报价函中的总报价，应同时修改“报价组成表”中的相应价格。此修改须符合本章第4.3款的有关规定。　</w:t>
      </w:r>
    </w:p>
    <w:p w14:paraId="38F1F4DE">
      <w:pPr>
        <w:pStyle w:val="58"/>
        <w:shd w:val="clear"/>
        <w:rPr>
          <w:highlight w:val="none"/>
        </w:rPr>
      </w:pPr>
      <w:bookmarkStart w:id="73" w:name="_Toc507936031"/>
      <w:bookmarkStart w:id="74" w:name="_Toc506105837"/>
      <w:bookmarkStart w:id="75" w:name="_Toc406766395"/>
      <w:r>
        <w:rPr>
          <w:rFonts w:hint="eastAsia"/>
          <w:highlight w:val="none"/>
        </w:rPr>
        <w:t>3.3 投标有效期</w:t>
      </w:r>
      <w:bookmarkEnd w:id="73"/>
      <w:bookmarkEnd w:id="74"/>
      <w:bookmarkEnd w:id="75"/>
    </w:p>
    <w:p w14:paraId="32E2C7B9">
      <w:pPr>
        <w:shd w:val="clear"/>
        <w:spacing w:line="360" w:lineRule="auto"/>
        <w:ind w:firstLine="480" w:firstLineChars="200"/>
        <w:rPr>
          <w:rFonts w:cs="仿宋"/>
          <w:highlight w:val="none"/>
        </w:rPr>
      </w:pPr>
      <w:r>
        <w:rPr>
          <w:rFonts w:hint="eastAsia" w:cs="仿宋"/>
          <w:highlight w:val="none"/>
        </w:rPr>
        <w:t>3.3.1投标有效期：详见投标人须知前附表</w:t>
      </w:r>
    </w:p>
    <w:p w14:paraId="3389D350">
      <w:pPr>
        <w:shd w:val="clear"/>
        <w:spacing w:line="360" w:lineRule="auto"/>
        <w:ind w:firstLine="480" w:firstLineChars="200"/>
        <w:rPr>
          <w:rFonts w:cs="仿宋"/>
          <w:highlight w:val="none"/>
        </w:rPr>
      </w:pPr>
      <w:r>
        <w:rPr>
          <w:rFonts w:hint="eastAsia" w:cs="仿宋"/>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文件失效，但投标人有权收回其投标保证金。</w:t>
      </w:r>
    </w:p>
    <w:p w14:paraId="71E87830">
      <w:pPr>
        <w:pStyle w:val="58"/>
        <w:shd w:val="clear"/>
        <w:rPr>
          <w:highlight w:val="none"/>
        </w:rPr>
      </w:pPr>
      <w:bookmarkStart w:id="76" w:name="_Toc506105838"/>
      <w:bookmarkStart w:id="77" w:name="_Toc507936032"/>
      <w:bookmarkStart w:id="78" w:name="_Toc406766396"/>
      <w:r>
        <w:rPr>
          <w:rFonts w:hint="eastAsia"/>
          <w:highlight w:val="none"/>
        </w:rPr>
        <w:t xml:space="preserve">3.4 </w:t>
      </w:r>
      <w:bookmarkEnd w:id="76"/>
      <w:bookmarkEnd w:id="77"/>
      <w:bookmarkEnd w:id="78"/>
      <w:r>
        <w:rPr>
          <w:rFonts w:hint="eastAsia"/>
          <w:highlight w:val="none"/>
        </w:rPr>
        <w:t>投标保证金</w:t>
      </w:r>
    </w:p>
    <w:p w14:paraId="1589BF88">
      <w:pPr>
        <w:shd w:val="clear"/>
        <w:spacing w:line="360" w:lineRule="auto"/>
        <w:ind w:firstLine="480" w:firstLineChars="200"/>
        <w:rPr>
          <w:rFonts w:cs="仿宋"/>
          <w:highlight w:val="none"/>
        </w:rPr>
      </w:pPr>
      <w:r>
        <w:rPr>
          <w:rFonts w:hint="eastAsia" w:cs="仿宋"/>
          <w:highlight w:val="none"/>
        </w:rPr>
        <w:t>3.4.1 投标人在递交投标文件的同时，应按招标公告规定的金额、担保形式递交投标保证金，并作为其投标文件的组成部分。详见投标人须知前附表。</w:t>
      </w:r>
    </w:p>
    <w:p w14:paraId="2E089E6A">
      <w:pPr>
        <w:shd w:val="clear"/>
        <w:spacing w:line="360" w:lineRule="auto"/>
        <w:ind w:firstLine="480" w:firstLineChars="200"/>
        <w:rPr>
          <w:rFonts w:cs="仿宋"/>
          <w:highlight w:val="none"/>
        </w:rPr>
      </w:pPr>
      <w:r>
        <w:rPr>
          <w:rFonts w:hint="eastAsia" w:cs="仿宋"/>
          <w:highlight w:val="none"/>
        </w:rPr>
        <w:t>3.4.2 投标人不按本章第3.4.1项要求提交投标保证金的，其投标文件作无效。</w:t>
      </w:r>
    </w:p>
    <w:p w14:paraId="1A753D4C">
      <w:pPr>
        <w:shd w:val="clear"/>
        <w:spacing w:line="360" w:lineRule="auto"/>
        <w:ind w:firstLine="480" w:firstLineChars="200"/>
        <w:rPr>
          <w:rFonts w:cs="仿宋"/>
          <w:bCs/>
          <w:highlight w:val="none"/>
        </w:rPr>
      </w:pPr>
      <w:r>
        <w:rPr>
          <w:rFonts w:hint="eastAsia" w:cs="仿宋"/>
          <w:highlight w:val="none"/>
        </w:rPr>
        <w:t>3.4.3</w:t>
      </w:r>
      <w:r>
        <w:rPr>
          <w:rFonts w:hint="eastAsia" w:cs="仿宋"/>
          <w:bCs/>
          <w:highlight w:val="none"/>
        </w:rPr>
        <w:t xml:space="preserve"> </w:t>
      </w:r>
      <w:r>
        <w:rPr>
          <w:rFonts w:hint="eastAsia" w:cs="仿宋"/>
          <w:highlight w:val="none"/>
        </w:rPr>
        <w:t>招标人与中标人签订合同30日内</w:t>
      </w:r>
      <w:r>
        <w:rPr>
          <w:rFonts w:hint="eastAsia" w:cs="仿宋"/>
          <w:bCs/>
          <w:highlight w:val="none"/>
        </w:rPr>
        <w:t>，向未中标的</w:t>
      </w:r>
      <w:r>
        <w:rPr>
          <w:rFonts w:hint="eastAsia" w:cs="仿宋"/>
          <w:highlight w:val="none"/>
        </w:rPr>
        <w:t>投标人</w:t>
      </w:r>
      <w:r>
        <w:rPr>
          <w:rFonts w:hint="eastAsia" w:cs="仿宋"/>
          <w:bCs/>
          <w:highlight w:val="none"/>
        </w:rPr>
        <w:t>退还投标保证金。</w:t>
      </w:r>
    </w:p>
    <w:p w14:paraId="734D5DC9">
      <w:pPr>
        <w:shd w:val="clear"/>
        <w:spacing w:line="360" w:lineRule="auto"/>
        <w:ind w:firstLine="480" w:firstLineChars="200"/>
        <w:rPr>
          <w:rFonts w:cs="仿宋"/>
          <w:highlight w:val="none"/>
        </w:rPr>
      </w:pPr>
      <w:r>
        <w:rPr>
          <w:rFonts w:hint="eastAsia" w:cs="仿宋"/>
          <w:highlight w:val="none"/>
        </w:rPr>
        <w:t>3.4.4 有下列情形之一的，投标保证金将不予退还：</w:t>
      </w:r>
    </w:p>
    <w:p w14:paraId="36123455">
      <w:pPr>
        <w:shd w:val="clear"/>
        <w:spacing w:line="360" w:lineRule="auto"/>
        <w:ind w:firstLine="480" w:firstLineChars="200"/>
        <w:rPr>
          <w:rFonts w:cs="仿宋"/>
          <w:highlight w:val="none"/>
        </w:rPr>
      </w:pPr>
      <w:r>
        <w:rPr>
          <w:rFonts w:hint="eastAsia" w:cs="仿宋"/>
          <w:highlight w:val="none"/>
        </w:rPr>
        <w:t>（1）投标人在规定的招标有效期内撤销或修改其投标文件；</w:t>
      </w:r>
    </w:p>
    <w:p w14:paraId="1DFC4174">
      <w:pPr>
        <w:shd w:val="clear"/>
        <w:spacing w:line="360" w:lineRule="auto"/>
        <w:ind w:firstLine="480" w:firstLineChars="200"/>
        <w:rPr>
          <w:rFonts w:cs="仿宋"/>
          <w:highlight w:val="none"/>
        </w:rPr>
      </w:pPr>
      <w:r>
        <w:rPr>
          <w:rFonts w:hint="eastAsia" w:cs="仿宋"/>
          <w:highlight w:val="none"/>
        </w:rPr>
        <w:t>（2）中标人在收到中标通知书后，无正当理由拒签合同协议书或未按招标文件规定提交履约担保。</w:t>
      </w:r>
    </w:p>
    <w:p w14:paraId="0940C7CD">
      <w:pPr>
        <w:pStyle w:val="58"/>
        <w:shd w:val="clear"/>
        <w:rPr>
          <w:highlight w:val="none"/>
        </w:rPr>
      </w:pPr>
      <w:bookmarkStart w:id="79" w:name="_Toc506105839"/>
      <w:bookmarkStart w:id="80" w:name="_Toc507936033"/>
      <w:r>
        <w:rPr>
          <w:rFonts w:hint="eastAsia"/>
          <w:highlight w:val="none"/>
        </w:rPr>
        <w:t>3.5 资格审查资料</w:t>
      </w:r>
      <w:bookmarkEnd w:id="79"/>
      <w:bookmarkEnd w:id="80"/>
    </w:p>
    <w:p w14:paraId="39E08FE1">
      <w:pPr>
        <w:shd w:val="clear"/>
        <w:spacing w:line="360" w:lineRule="auto"/>
        <w:ind w:firstLine="480" w:firstLineChars="200"/>
        <w:rPr>
          <w:rFonts w:cs="仿宋"/>
          <w:highlight w:val="none"/>
        </w:rPr>
      </w:pPr>
      <w:r>
        <w:rPr>
          <w:rFonts w:hint="eastAsia" w:cs="仿宋"/>
          <w:highlight w:val="none"/>
        </w:rPr>
        <w:t xml:space="preserve">3.5.1 </w:t>
      </w:r>
      <w:r>
        <w:rPr>
          <w:rFonts w:hint="eastAsia"/>
          <w:highlight w:val="none"/>
        </w:rPr>
        <w:t>营业执照、资质证书、体系认证、资信等级、人员资格证书、业绩合同、获奖证书</w:t>
      </w:r>
      <w:r>
        <w:rPr>
          <w:rFonts w:hint="eastAsia" w:cs="仿宋"/>
          <w:highlight w:val="none"/>
        </w:rPr>
        <w:t>等材料的复印件。</w:t>
      </w:r>
    </w:p>
    <w:p w14:paraId="3FC6BD80">
      <w:pPr>
        <w:shd w:val="clear"/>
        <w:spacing w:line="360" w:lineRule="auto"/>
        <w:ind w:firstLine="480" w:firstLineChars="200"/>
        <w:rPr>
          <w:rFonts w:hint="eastAsia"/>
          <w:highlight w:val="none"/>
        </w:rPr>
      </w:pPr>
      <w:r>
        <w:rPr>
          <w:rFonts w:hint="eastAsia" w:cs="仿宋"/>
          <w:highlight w:val="none"/>
        </w:rPr>
        <w:t xml:space="preserve">3.5.2 </w:t>
      </w:r>
      <w:r>
        <w:rPr>
          <w:rFonts w:hint="eastAsia"/>
          <w:highlight w:val="none"/>
        </w:rPr>
        <w:t>近3年财务审计报告</w:t>
      </w:r>
    </w:p>
    <w:p w14:paraId="61E2BF13">
      <w:pPr>
        <w:shd w:val="clear"/>
        <w:spacing w:line="360" w:lineRule="auto"/>
        <w:ind w:firstLine="480" w:firstLineChars="200"/>
        <w:rPr>
          <w:rFonts w:hint="eastAsia" w:cs="仿宋"/>
          <w:highlight w:val="none"/>
        </w:rPr>
      </w:pPr>
      <w:r>
        <w:rPr>
          <w:rFonts w:hint="eastAsia" w:cs="仿宋"/>
          <w:highlight w:val="none"/>
        </w:rPr>
        <w:t>3.5.3“近3年完成的业绩情况表”具体要求详见商务部分</w:t>
      </w:r>
    </w:p>
    <w:p w14:paraId="0ED67C5F">
      <w:pPr>
        <w:shd w:val="clear"/>
        <w:spacing w:line="360" w:lineRule="auto"/>
        <w:ind w:firstLine="480" w:firstLineChars="200"/>
        <w:rPr>
          <w:rFonts w:hint="eastAsia" w:cs="仿宋"/>
          <w:highlight w:val="none"/>
        </w:rPr>
      </w:pPr>
      <w:r>
        <w:rPr>
          <w:rFonts w:hint="eastAsia" w:cs="仿宋"/>
          <w:highlight w:val="none"/>
        </w:rPr>
        <w:t>3.5.4 “近3年发生的诉讼及仲裁情况”应说明相关情况，并附法院或仲裁机构作出的判决、裁决等有关法律文书复印件。</w:t>
      </w:r>
    </w:p>
    <w:p w14:paraId="34BEE188">
      <w:pPr>
        <w:shd w:val="clear"/>
        <w:spacing w:line="360" w:lineRule="auto"/>
        <w:ind w:firstLine="480" w:firstLineChars="200"/>
        <w:rPr>
          <w:rFonts w:cs="仿宋"/>
          <w:highlight w:val="none"/>
        </w:rPr>
      </w:pPr>
      <w:r>
        <w:rPr>
          <w:rFonts w:hint="eastAsia" w:cs="仿宋"/>
          <w:highlight w:val="none"/>
        </w:rPr>
        <w:t>3.5.4认为有必要提供的其他证明文件。</w:t>
      </w:r>
    </w:p>
    <w:p w14:paraId="7FD22AD0">
      <w:pPr>
        <w:pStyle w:val="58"/>
        <w:shd w:val="clear"/>
        <w:rPr>
          <w:rFonts w:hint="eastAsia"/>
          <w:highlight w:val="none"/>
        </w:rPr>
      </w:pPr>
      <w:bookmarkStart w:id="81" w:name="_Toc506105840"/>
      <w:bookmarkStart w:id="82" w:name="_Toc507936034"/>
      <w:r>
        <w:rPr>
          <w:rFonts w:hint="eastAsia"/>
          <w:highlight w:val="none"/>
        </w:rPr>
        <w:t>3.6 备选投标方案</w:t>
      </w:r>
      <w:bookmarkEnd w:id="81"/>
      <w:bookmarkEnd w:id="82"/>
    </w:p>
    <w:p w14:paraId="3F6A9C95">
      <w:pPr>
        <w:shd w:val="clear"/>
        <w:spacing w:line="360" w:lineRule="auto"/>
        <w:ind w:firstLine="480" w:firstLineChars="200"/>
        <w:rPr>
          <w:rFonts w:hint="eastAsia" w:cs="仿宋"/>
          <w:highlight w:val="none"/>
        </w:rPr>
      </w:pPr>
      <w:r>
        <w:rPr>
          <w:rFonts w:hint="eastAsia" w:cs="仿宋"/>
          <w:highlight w:val="none"/>
        </w:rPr>
        <w:t>3.6.1本次招标不接受备选方案。</w:t>
      </w:r>
    </w:p>
    <w:p w14:paraId="18BF92B0">
      <w:pPr>
        <w:pStyle w:val="58"/>
        <w:shd w:val="clear"/>
        <w:rPr>
          <w:highlight w:val="none"/>
        </w:rPr>
      </w:pPr>
      <w:bookmarkStart w:id="83" w:name="_Toc507936035"/>
      <w:bookmarkStart w:id="84" w:name="_Toc506105841"/>
      <w:r>
        <w:rPr>
          <w:rFonts w:hint="eastAsia"/>
          <w:highlight w:val="none"/>
        </w:rPr>
        <w:t>3.7 投标文件的编制</w:t>
      </w:r>
      <w:bookmarkEnd w:id="83"/>
      <w:bookmarkEnd w:id="84"/>
    </w:p>
    <w:p w14:paraId="14E53A1A">
      <w:pPr>
        <w:shd w:val="clear"/>
        <w:spacing w:line="360" w:lineRule="auto"/>
        <w:ind w:firstLine="480" w:firstLineChars="200"/>
        <w:rPr>
          <w:rFonts w:cs="仿宋"/>
          <w:highlight w:val="none"/>
        </w:rPr>
      </w:pPr>
      <w:r>
        <w:rPr>
          <w:rFonts w:hint="eastAsia" w:cs="仿宋"/>
          <w:highlight w:val="none"/>
        </w:rPr>
        <w:t>3.7.1投标文件应按《第五章投标文件格式及内容》要求进行编写。</w:t>
      </w:r>
    </w:p>
    <w:p w14:paraId="3D513D20">
      <w:pPr>
        <w:shd w:val="clear"/>
        <w:spacing w:line="360" w:lineRule="auto"/>
        <w:ind w:firstLine="480" w:firstLineChars="200"/>
        <w:rPr>
          <w:rFonts w:cs="仿宋"/>
          <w:highlight w:val="none"/>
        </w:rPr>
      </w:pPr>
      <w:r>
        <w:rPr>
          <w:rFonts w:hint="eastAsia" w:cs="仿宋"/>
          <w:highlight w:val="none"/>
        </w:rPr>
        <w:t>3.7.2投标文件应当对招标文件有关交货期、投标有效期、质量要求、技术要求、招标范围等实质性内容作出响应。</w:t>
      </w:r>
    </w:p>
    <w:p w14:paraId="20B2166B">
      <w:pPr>
        <w:shd w:val="clear"/>
        <w:spacing w:line="360" w:lineRule="auto"/>
        <w:ind w:firstLine="480" w:firstLineChars="200"/>
        <w:rPr>
          <w:rFonts w:cs="仿宋"/>
          <w:highlight w:val="none"/>
        </w:rPr>
      </w:pPr>
      <w:r>
        <w:rPr>
          <w:rFonts w:hint="eastAsia" w:cs="仿宋"/>
          <w:highlight w:val="none"/>
        </w:rPr>
        <w:t>3.7.3投标文件应用不褪色的材料书写或打印，并由法定代表人或其委托代理人签字或盖公章。签字或盖章的具体要求见投标人须知前附表。</w:t>
      </w:r>
    </w:p>
    <w:p w14:paraId="28F297B3">
      <w:pPr>
        <w:shd w:val="clear"/>
        <w:spacing w:line="360" w:lineRule="auto"/>
        <w:ind w:firstLine="480" w:firstLineChars="200"/>
        <w:rPr>
          <w:rFonts w:cs="仿宋"/>
          <w:highlight w:val="none"/>
        </w:rPr>
      </w:pPr>
      <w:r>
        <w:rPr>
          <w:rFonts w:hint="eastAsia" w:cs="仿宋"/>
          <w:highlight w:val="none"/>
        </w:rPr>
        <w:t>3.7.4投标文件正本壹份，副本</w:t>
      </w:r>
      <w:r>
        <w:rPr>
          <w:rFonts w:hint="eastAsia" w:cs="仿宋"/>
          <w:highlight w:val="none"/>
          <w:lang w:val="en-US" w:eastAsia="zh-CN"/>
        </w:rPr>
        <w:t>贰</w:t>
      </w:r>
      <w:r>
        <w:rPr>
          <w:rFonts w:hint="eastAsia" w:cs="仿宋"/>
          <w:highlight w:val="none"/>
        </w:rPr>
        <w:t>份。正本和副本的封面上应清楚地标记“正本”或“副本”的字样并加盖公章。当副本和正本不一致时，以正本为准。</w:t>
      </w:r>
    </w:p>
    <w:p w14:paraId="66C39B73">
      <w:pPr>
        <w:shd w:val="clear"/>
        <w:spacing w:line="360" w:lineRule="auto"/>
        <w:ind w:firstLine="480" w:firstLineChars="200"/>
        <w:rPr>
          <w:rFonts w:cs="仿宋"/>
          <w:highlight w:val="none"/>
        </w:rPr>
      </w:pPr>
      <w:r>
        <w:rPr>
          <w:rFonts w:hint="eastAsia" w:cs="仿宋"/>
          <w:highlight w:val="none"/>
        </w:rPr>
        <w:t>3.7.5投标文件的正本与副本应分别装订成册，并编制目录，详见投标人须知前附表。</w:t>
      </w:r>
    </w:p>
    <w:p w14:paraId="32842DA2">
      <w:pPr>
        <w:shd w:val="clear"/>
        <w:spacing w:line="360" w:lineRule="auto"/>
        <w:ind w:firstLine="480" w:firstLineChars="200"/>
        <w:rPr>
          <w:rFonts w:hint="eastAsia" w:cs="仿宋"/>
          <w:highlight w:val="none"/>
        </w:rPr>
      </w:pPr>
      <w:r>
        <w:rPr>
          <w:rFonts w:hint="eastAsia" w:cs="仿宋"/>
          <w:highlight w:val="none"/>
        </w:rPr>
        <w:t>3.7.6本次招标须提供应文件电子版（U盘一件），电子版与纸质版需一致，若不一致以纸质版为准。投标文件电子版文件格式为可编辑的Word“*.doc”、“*.docx”或Excel“*.xls”、“*.xlsx”，文字部分格式采用Word“*.doc”、“*.docx”，报价清单部分格式采用Excel“*.xls”、“*.xlsx”。</w:t>
      </w:r>
    </w:p>
    <w:p w14:paraId="35272C48">
      <w:pPr>
        <w:shd w:val="clear"/>
        <w:spacing w:line="360" w:lineRule="auto"/>
        <w:jc w:val="center"/>
        <w:rPr>
          <w:rStyle w:val="95"/>
          <w:rFonts w:hint="eastAsia"/>
          <w:highlight w:val="none"/>
        </w:rPr>
      </w:pPr>
      <w:r>
        <w:rPr>
          <w:rStyle w:val="95"/>
          <w:rFonts w:hint="eastAsia"/>
          <w:highlight w:val="none"/>
        </w:rPr>
        <w:t>4.投标</w:t>
      </w:r>
    </w:p>
    <w:p w14:paraId="4911A9E5">
      <w:pPr>
        <w:pStyle w:val="58"/>
        <w:shd w:val="clear"/>
        <w:rPr>
          <w:highlight w:val="none"/>
        </w:rPr>
      </w:pPr>
      <w:bookmarkStart w:id="85" w:name="_Toc506105844"/>
      <w:bookmarkStart w:id="86" w:name="_Toc507936037"/>
      <w:r>
        <w:rPr>
          <w:rFonts w:hint="eastAsia"/>
          <w:highlight w:val="none"/>
        </w:rPr>
        <w:t>4.1 投标文件的递交</w:t>
      </w:r>
      <w:bookmarkEnd w:id="85"/>
      <w:bookmarkEnd w:id="86"/>
    </w:p>
    <w:p w14:paraId="4E738382">
      <w:pPr>
        <w:shd w:val="clear"/>
        <w:spacing w:line="360" w:lineRule="auto"/>
        <w:ind w:firstLine="480" w:firstLineChars="200"/>
        <w:rPr>
          <w:rFonts w:cs="仿宋"/>
          <w:highlight w:val="none"/>
        </w:rPr>
      </w:pPr>
      <w:r>
        <w:rPr>
          <w:rFonts w:hint="eastAsia" w:cs="仿宋"/>
          <w:highlight w:val="none"/>
        </w:rPr>
        <w:t>4.1.1递交投标文件的截止时间和地点，详见投标人须知前附表。</w:t>
      </w:r>
    </w:p>
    <w:p w14:paraId="3E5E3920">
      <w:pPr>
        <w:shd w:val="clear"/>
        <w:spacing w:line="360" w:lineRule="auto"/>
        <w:ind w:firstLine="480" w:firstLineChars="200"/>
        <w:rPr>
          <w:rFonts w:cs="仿宋"/>
          <w:highlight w:val="none"/>
        </w:rPr>
      </w:pPr>
      <w:r>
        <w:rPr>
          <w:rFonts w:hint="eastAsia" w:cs="仿宋"/>
          <w:highlight w:val="none"/>
        </w:rPr>
        <w:t>4.1.2除投标人须知前附表另有规定外，所递交的投标文件不予退还。</w:t>
      </w:r>
    </w:p>
    <w:p w14:paraId="3BF94251">
      <w:pPr>
        <w:pStyle w:val="58"/>
        <w:shd w:val="clear"/>
        <w:rPr>
          <w:highlight w:val="none"/>
        </w:rPr>
      </w:pPr>
      <w:bookmarkStart w:id="87" w:name="_Toc507936038"/>
      <w:bookmarkStart w:id="88" w:name="_Toc506105845"/>
      <w:r>
        <w:rPr>
          <w:rFonts w:hint="eastAsia"/>
          <w:highlight w:val="none"/>
        </w:rPr>
        <w:t>4.2 投标文件的修改与撤回</w:t>
      </w:r>
      <w:bookmarkEnd w:id="87"/>
      <w:bookmarkEnd w:id="88"/>
    </w:p>
    <w:p w14:paraId="1441631E">
      <w:pPr>
        <w:shd w:val="clear"/>
        <w:spacing w:line="360" w:lineRule="auto"/>
        <w:ind w:firstLine="480" w:firstLineChars="200"/>
        <w:rPr>
          <w:rFonts w:cs="仿宋"/>
          <w:highlight w:val="none"/>
        </w:rPr>
      </w:pPr>
      <w:r>
        <w:rPr>
          <w:rFonts w:hint="eastAsia" w:cs="仿宋"/>
          <w:highlight w:val="none"/>
        </w:rPr>
        <w:t>4.2.1在递交投标文件截止时间前，投标人可以修改或撤回已递交的投标文件，但应以书面形式通知招标人。</w:t>
      </w:r>
    </w:p>
    <w:p w14:paraId="36C20C47">
      <w:pPr>
        <w:shd w:val="clear"/>
        <w:spacing w:line="360" w:lineRule="auto"/>
        <w:ind w:firstLine="480" w:firstLineChars="200"/>
        <w:rPr>
          <w:rFonts w:cs="仿宋"/>
          <w:highlight w:val="none"/>
        </w:rPr>
      </w:pPr>
      <w:r>
        <w:rPr>
          <w:rFonts w:hint="eastAsia" w:cs="仿宋"/>
          <w:highlight w:val="none"/>
        </w:rPr>
        <w:t>4.2.2投标人修改或撤回已递交投标文件应按要求签字或盖章。</w:t>
      </w:r>
    </w:p>
    <w:p w14:paraId="35D1AA96">
      <w:pPr>
        <w:shd w:val="clear"/>
        <w:spacing w:line="360" w:lineRule="auto"/>
        <w:ind w:firstLine="480" w:firstLineChars="200"/>
        <w:rPr>
          <w:rFonts w:cs="仿宋"/>
          <w:highlight w:val="none"/>
        </w:rPr>
      </w:pPr>
      <w:r>
        <w:rPr>
          <w:rFonts w:hint="eastAsia" w:cs="仿宋"/>
          <w:highlight w:val="none"/>
        </w:rPr>
        <w:t>4.2.3修改的内容为投标文件的组成部分。修改的投标文件应按照本章第3条、第4条规定进行编制、密封、标记和递交，并标明“修改”字样。</w:t>
      </w:r>
    </w:p>
    <w:p w14:paraId="3ECD22DD">
      <w:pPr>
        <w:pStyle w:val="63"/>
        <w:shd w:val="clear"/>
        <w:rPr>
          <w:rStyle w:val="95"/>
          <w:rFonts w:hint="eastAsia"/>
          <w:b/>
          <w:bCs/>
          <w:highlight w:val="none"/>
        </w:rPr>
      </w:pPr>
      <w:bookmarkStart w:id="89" w:name="_Toc506105846"/>
      <w:bookmarkStart w:id="90" w:name="_Toc507936039"/>
      <w:r>
        <w:rPr>
          <w:rStyle w:val="95"/>
          <w:rFonts w:hint="eastAsia"/>
          <w:b/>
          <w:bCs/>
          <w:highlight w:val="none"/>
        </w:rPr>
        <w:t>5.</w:t>
      </w:r>
      <w:bookmarkEnd w:id="89"/>
      <w:bookmarkEnd w:id="90"/>
      <w:r>
        <w:rPr>
          <w:rStyle w:val="95"/>
          <w:rFonts w:hint="eastAsia"/>
          <w:b/>
          <w:bCs/>
          <w:highlight w:val="none"/>
        </w:rPr>
        <w:t>开标</w:t>
      </w:r>
    </w:p>
    <w:p w14:paraId="54414B2A">
      <w:pPr>
        <w:pStyle w:val="58"/>
        <w:shd w:val="clear"/>
        <w:rPr>
          <w:rFonts w:hint="eastAsia"/>
          <w:highlight w:val="none"/>
        </w:rPr>
      </w:pPr>
      <w:bookmarkStart w:id="91" w:name="_Toc507936040"/>
      <w:bookmarkStart w:id="92" w:name="_Toc506105847"/>
      <w:r>
        <w:rPr>
          <w:rFonts w:hint="eastAsia"/>
          <w:highlight w:val="none"/>
        </w:rPr>
        <w:t xml:space="preserve">5.1 </w:t>
      </w:r>
      <w:bookmarkEnd w:id="91"/>
      <w:bookmarkEnd w:id="92"/>
      <w:bookmarkStart w:id="93" w:name="_Toc506105848"/>
      <w:r>
        <w:rPr>
          <w:rFonts w:hint="eastAsia"/>
          <w:highlight w:val="none"/>
        </w:rPr>
        <w:t>开标</w:t>
      </w:r>
    </w:p>
    <w:p w14:paraId="0CD25B95">
      <w:pPr>
        <w:shd w:val="clear"/>
        <w:spacing w:line="360" w:lineRule="auto"/>
        <w:rPr>
          <w:rFonts w:hint="eastAsia" w:cs="仿宋"/>
          <w:highlight w:val="none"/>
        </w:rPr>
      </w:pPr>
      <w:r>
        <w:rPr>
          <w:rFonts w:hint="eastAsia" w:cs="仿宋"/>
          <w:highlight w:val="none"/>
        </w:rPr>
        <w:t>5.1.1</w:t>
      </w:r>
      <w:r>
        <w:rPr>
          <w:rFonts w:hint="eastAsia"/>
          <w:highlight w:val="none"/>
        </w:rPr>
        <w:t>开标时间和方式：</w:t>
      </w:r>
      <w:r>
        <w:rPr>
          <w:rFonts w:hint="eastAsia" w:cs="仿宋"/>
          <w:highlight w:val="none"/>
        </w:rPr>
        <w:t>详见投标人须知前附表。</w:t>
      </w:r>
    </w:p>
    <w:p w14:paraId="415CEEB7">
      <w:pPr>
        <w:shd w:val="clear"/>
        <w:spacing w:line="360" w:lineRule="auto"/>
        <w:rPr>
          <w:rFonts w:hint="eastAsia" w:cs="仿宋"/>
          <w:highlight w:val="none"/>
        </w:rPr>
      </w:pPr>
      <w:r>
        <w:rPr>
          <w:rFonts w:hint="eastAsia" w:cs="仿宋"/>
          <w:highlight w:val="none"/>
        </w:rPr>
        <w:t>5.1.2</w:t>
      </w:r>
      <w:r>
        <w:rPr>
          <w:rFonts w:hint="eastAsia"/>
          <w:highlight w:val="none"/>
        </w:rPr>
        <w:t>投标人证件及业绩的提交：</w:t>
      </w:r>
      <w:r>
        <w:rPr>
          <w:rFonts w:hint="eastAsia" w:cs="仿宋"/>
          <w:highlight w:val="none"/>
        </w:rPr>
        <w:t>详见投标人须知前附表。</w:t>
      </w:r>
    </w:p>
    <w:p w14:paraId="5CAFCA63">
      <w:pPr>
        <w:shd w:val="clear"/>
        <w:spacing w:line="360" w:lineRule="auto"/>
        <w:rPr>
          <w:rFonts w:hint="eastAsia" w:cs="仿宋"/>
          <w:highlight w:val="none"/>
        </w:rPr>
      </w:pPr>
      <w:r>
        <w:rPr>
          <w:rFonts w:hint="eastAsia" w:cs="仿宋"/>
          <w:highlight w:val="none"/>
        </w:rPr>
        <w:t>5.1.3</w:t>
      </w:r>
      <w:r>
        <w:rPr>
          <w:rFonts w:hint="eastAsia"/>
          <w:highlight w:val="none"/>
        </w:rPr>
        <w:t>开标时投标人需要携带的证件：</w:t>
      </w:r>
      <w:r>
        <w:rPr>
          <w:rFonts w:hint="eastAsia" w:cs="仿宋"/>
          <w:highlight w:val="none"/>
        </w:rPr>
        <w:t>详见投标人须知前附表。</w:t>
      </w:r>
    </w:p>
    <w:bookmarkEnd w:id="93"/>
    <w:p w14:paraId="6AB2A250">
      <w:pPr>
        <w:pStyle w:val="63"/>
        <w:shd w:val="clear"/>
        <w:rPr>
          <w:rStyle w:val="95"/>
          <w:rFonts w:hint="eastAsia"/>
          <w:b/>
          <w:bCs/>
          <w:highlight w:val="none"/>
        </w:rPr>
      </w:pPr>
      <w:bookmarkStart w:id="94" w:name="_Toc506105849"/>
      <w:bookmarkStart w:id="95" w:name="_Toc507936041"/>
      <w:r>
        <w:rPr>
          <w:rStyle w:val="95"/>
          <w:rFonts w:hint="eastAsia"/>
          <w:b/>
          <w:bCs/>
          <w:highlight w:val="none"/>
        </w:rPr>
        <w:t>6.</w:t>
      </w:r>
      <w:bookmarkEnd w:id="94"/>
      <w:bookmarkEnd w:id="95"/>
      <w:r>
        <w:rPr>
          <w:rStyle w:val="95"/>
          <w:rFonts w:hint="eastAsia"/>
          <w:b/>
          <w:bCs/>
          <w:highlight w:val="none"/>
        </w:rPr>
        <w:t>评标</w:t>
      </w:r>
    </w:p>
    <w:p w14:paraId="5BA1F961">
      <w:pPr>
        <w:pStyle w:val="58"/>
        <w:shd w:val="clear"/>
        <w:rPr>
          <w:highlight w:val="none"/>
        </w:rPr>
      </w:pPr>
      <w:bookmarkStart w:id="96" w:name="_Toc507936042"/>
      <w:bookmarkStart w:id="97" w:name="_Toc506105850"/>
      <w:r>
        <w:rPr>
          <w:rFonts w:hint="eastAsia"/>
          <w:highlight w:val="none"/>
        </w:rPr>
        <w:t>6.1 评标委员会</w:t>
      </w:r>
      <w:bookmarkEnd w:id="96"/>
      <w:bookmarkEnd w:id="97"/>
    </w:p>
    <w:p w14:paraId="53E06D88">
      <w:pPr>
        <w:shd w:val="clear"/>
        <w:spacing w:line="360" w:lineRule="auto"/>
        <w:ind w:firstLine="480" w:firstLineChars="200"/>
        <w:rPr>
          <w:rFonts w:cs="仿宋"/>
          <w:highlight w:val="none"/>
        </w:rPr>
      </w:pPr>
      <w:r>
        <w:rPr>
          <w:rFonts w:hint="eastAsia" w:cs="仿宋"/>
          <w:highlight w:val="none"/>
        </w:rPr>
        <w:t>评标由招标人依法组建的评标委员会负责。评标委员会由招标人熟悉相关业务的代表，以及有关技术、经济等方面的专家组成，评标委员会成员人数为5人及以上单数。</w:t>
      </w:r>
    </w:p>
    <w:p w14:paraId="6C3B7B7C">
      <w:pPr>
        <w:pStyle w:val="58"/>
        <w:shd w:val="clear"/>
        <w:rPr>
          <w:highlight w:val="none"/>
        </w:rPr>
      </w:pPr>
      <w:bookmarkStart w:id="98" w:name="_Toc506105851"/>
      <w:bookmarkStart w:id="99" w:name="_Toc507936043"/>
      <w:r>
        <w:rPr>
          <w:rFonts w:hint="eastAsia"/>
          <w:highlight w:val="none"/>
        </w:rPr>
        <w:t>6.2 评标原则</w:t>
      </w:r>
      <w:bookmarkEnd w:id="98"/>
      <w:bookmarkEnd w:id="99"/>
    </w:p>
    <w:p w14:paraId="2DC90565">
      <w:pPr>
        <w:pStyle w:val="56"/>
        <w:shd w:val="clear"/>
        <w:spacing w:before="156"/>
        <w:jc w:val="both"/>
        <w:rPr>
          <w:rFonts w:hint="eastAsia" w:ascii="宋体" w:hAnsi="宋体" w:eastAsia="宋体" w:cs="仿宋"/>
          <w:b w:val="0"/>
          <w:kern w:val="0"/>
          <w:sz w:val="24"/>
          <w:szCs w:val="24"/>
          <w:highlight w:val="none"/>
        </w:rPr>
      </w:pPr>
      <w:r>
        <w:rPr>
          <w:rFonts w:hint="eastAsia" w:ascii="宋体" w:hAnsi="宋体" w:eastAsia="宋体" w:cs="仿宋"/>
          <w:b w:val="0"/>
          <w:kern w:val="0"/>
          <w:sz w:val="24"/>
          <w:szCs w:val="24"/>
          <w:highlight w:val="none"/>
        </w:rPr>
        <w:t>评标活动遵循公平、公正、科学和择优的原则。</w:t>
      </w:r>
    </w:p>
    <w:p w14:paraId="1D8A2B48">
      <w:pPr>
        <w:pStyle w:val="58"/>
        <w:shd w:val="clear"/>
        <w:rPr>
          <w:highlight w:val="none"/>
        </w:rPr>
      </w:pPr>
      <w:bookmarkStart w:id="100" w:name="_Toc507936044"/>
      <w:bookmarkStart w:id="101" w:name="_Toc506105852"/>
      <w:r>
        <w:rPr>
          <w:rFonts w:hint="eastAsia"/>
          <w:highlight w:val="none"/>
        </w:rPr>
        <w:t>6.3 评标方法</w:t>
      </w:r>
      <w:bookmarkEnd w:id="100"/>
      <w:bookmarkEnd w:id="101"/>
    </w:p>
    <w:p w14:paraId="6330575A">
      <w:pPr>
        <w:pStyle w:val="56"/>
        <w:shd w:val="clear"/>
        <w:spacing w:before="156"/>
        <w:jc w:val="both"/>
        <w:rPr>
          <w:rFonts w:hint="eastAsia" w:ascii="宋体" w:hAnsi="宋体" w:eastAsia="宋体" w:cs="仿宋"/>
          <w:b w:val="0"/>
          <w:kern w:val="0"/>
          <w:sz w:val="24"/>
          <w:szCs w:val="24"/>
          <w:highlight w:val="none"/>
        </w:rPr>
      </w:pPr>
      <w:bookmarkStart w:id="102" w:name="_Toc506886218"/>
      <w:r>
        <w:rPr>
          <w:rFonts w:hint="eastAsia" w:ascii="宋体" w:hAnsi="宋体" w:eastAsia="宋体" w:cs="仿宋"/>
          <w:b w:val="0"/>
          <w:kern w:val="0"/>
          <w:sz w:val="24"/>
          <w:szCs w:val="24"/>
          <w:highlight w:val="none"/>
        </w:rPr>
        <w:t xml:space="preserve">    按综合评标法进行评标。</w:t>
      </w:r>
      <w:bookmarkEnd w:id="102"/>
    </w:p>
    <w:p w14:paraId="387C3327">
      <w:pPr>
        <w:pStyle w:val="58"/>
        <w:shd w:val="clear"/>
        <w:rPr>
          <w:highlight w:val="none"/>
        </w:rPr>
      </w:pPr>
      <w:bookmarkStart w:id="103" w:name="_Toc506105853"/>
      <w:bookmarkStart w:id="104" w:name="_Toc507936045"/>
      <w:r>
        <w:rPr>
          <w:rFonts w:hint="eastAsia"/>
          <w:highlight w:val="none"/>
        </w:rPr>
        <w:t>6.4 评标程序及内容</w:t>
      </w:r>
      <w:bookmarkEnd w:id="103"/>
      <w:bookmarkEnd w:id="104"/>
    </w:p>
    <w:p w14:paraId="41D6D36E">
      <w:pPr>
        <w:shd w:val="clear"/>
        <w:spacing w:line="360" w:lineRule="auto"/>
        <w:ind w:firstLine="480" w:firstLineChars="200"/>
        <w:rPr>
          <w:rFonts w:hint="eastAsia" w:cs="仿宋"/>
          <w:highlight w:val="none"/>
        </w:rPr>
      </w:pPr>
      <w:r>
        <w:rPr>
          <w:rFonts w:hint="eastAsia" w:cs="仿宋"/>
          <w:highlight w:val="none"/>
        </w:rPr>
        <w:t>6.4.1投标文件初步评标</w:t>
      </w:r>
    </w:p>
    <w:p w14:paraId="1A2A8E43">
      <w:pPr>
        <w:shd w:val="clear"/>
        <w:spacing w:line="360" w:lineRule="auto"/>
        <w:ind w:firstLine="480" w:firstLineChars="200"/>
        <w:rPr>
          <w:rFonts w:cs="仿宋"/>
          <w:highlight w:val="none"/>
        </w:rPr>
      </w:pPr>
      <w:r>
        <w:rPr>
          <w:rFonts w:hint="eastAsia" w:cs="仿宋"/>
          <w:highlight w:val="none"/>
        </w:rPr>
        <w:t>6.4.1.1资格审查---是否满足对投标人的资格要求。</w:t>
      </w:r>
    </w:p>
    <w:p w14:paraId="508E5C64">
      <w:pPr>
        <w:shd w:val="clear"/>
        <w:spacing w:line="360" w:lineRule="auto"/>
        <w:ind w:firstLine="480" w:firstLineChars="200"/>
        <w:rPr>
          <w:rFonts w:cs="仿宋"/>
          <w:highlight w:val="none"/>
        </w:rPr>
      </w:pPr>
      <w:r>
        <w:rPr>
          <w:rFonts w:hint="eastAsia" w:cs="仿宋"/>
          <w:highlight w:val="none"/>
        </w:rPr>
        <w:t>6.4.1.2报价及报价组成表有计算或汇总错误时，按以下原则修正：</w:t>
      </w:r>
    </w:p>
    <w:p w14:paraId="2EE48A8F">
      <w:pPr>
        <w:shd w:val="clear"/>
        <w:spacing w:line="360" w:lineRule="auto"/>
        <w:ind w:firstLine="480" w:firstLineChars="200"/>
        <w:rPr>
          <w:rFonts w:cs="仿宋"/>
          <w:highlight w:val="none"/>
        </w:rPr>
      </w:pPr>
      <w:r>
        <w:rPr>
          <w:rFonts w:hint="eastAsia" w:cs="仿宋"/>
          <w:highlight w:val="none"/>
        </w:rPr>
        <w:t>（1）报价清单中的单价乘数量的乘积与该项目的合价不符时，应以单价为准，改正合价。</w:t>
      </w:r>
    </w:p>
    <w:p w14:paraId="080E4B8C">
      <w:pPr>
        <w:shd w:val="clear"/>
        <w:spacing w:line="360" w:lineRule="auto"/>
        <w:ind w:firstLine="480" w:firstLineChars="200"/>
        <w:rPr>
          <w:rFonts w:cs="仿宋"/>
          <w:highlight w:val="none"/>
        </w:rPr>
      </w:pPr>
      <w:r>
        <w:rPr>
          <w:rFonts w:hint="eastAsia" w:cs="仿宋"/>
          <w:highlight w:val="none"/>
        </w:rPr>
        <w:t>（2）若报价汇总表中的金额与相应的各分项报价清单中的合计金额不符时，以修正后的各分项报价清单中的合计金额为准，改正总报价。</w:t>
      </w:r>
    </w:p>
    <w:p w14:paraId="22409C4E">
      <w:pPr>
        <w:shd w:val="clear"/>
        <w:spacing w:line="360" w:lineRule="auto"/>
        <w:ind w:firstLine="480" w:firstLineChars="200"/>
        <w:rPr>
          <w:rFonts w:cs="仿宋"/>
          <w:highlight w:val="none"/>
        </w:rPr>
      </w:pPr>
      <w:r>
        <w:rPr>
          <w:rFonts w:hint="eastAsia" w:cs="仿宋"/>
          <w:highlight w:val="none"/>
        </w:rPr>
        <w:t>（3）评标委员会按以上原则对报价进行修正，修正的价格经投标人书面确认后具有约束力。</w:t>
      </w:r>
    </w:p>
    <w:p w14:paraId="14CD7D7E">
      <w:pPr>
        <w:shd w:val="clear"/>
        <w:spacing w:line="360" w:lineRule="auto"/>
        <w:ind w:firstLine="480" w:firstLineChars="200"/>
        <w:rPr>
          <w:rFonts w:cs="仿宋"/>
          <w:highlight w:val="none"/>
        </w:rPr>
      </w:pPr>
      <w:r>
        <w:rPr>
          <w:rFonts w:hint="eastAsia" w:cs="仿宋"/>
          <w:highlight w:val="none"/>
        </w:rPr>
        <w:t>6.4.1.3对需要文件进行审查，有以下情形之一的，为重大偏差，其投标文件符合性审查不通过</w:t>
      </w:r>
      <w:r>
        <w:rPr>
          <w:rFonts w:hint="eastAsia" w:cs="仿宋"/>
          <w:bCs/>
          <w:highlight w:val="none"/>
        </w:rPr>
        <w:t>作无效处理</w:t>
      </w:r>
      <w:r>
        <w:rPr>
          <w:rFonts w:hint="eastAsia" w:cs="仿宋"/>
          <w:highlight w:val="none"/>
        </w:rPr>
        <w:t>，不再进行详细评标：</w:t>
      </w:r>
    </w:p>
    <w:p w14:paraId="46DE0A4E">
      <w:pPr>
        <w:shd w:val="clear"/>
        <w:spacing w:line="360" w:lineRule="auto"/>
        <w:ind w:firstLine="480" w:firstLineChars="200"/>
        <w:rPr>
          <w:rFonts w:cs="仿宋"/>
          <w:bCs/>
          <w:highlight w:val="none"/>
        </w:rPr>
      </w:pPr>
      <w:r>
        <w:rPr>
          <w:rFonts w:hint="eastAsia" w:cs="仿宋"/>
          <w:bCs/>
          <w:highlight w:val="none"/>
        </w:rPr>
        <w:t>（1）提供的资格审查资料不满足招标文件要求的；</w:t>
      </w:r>
    </w:p>
    <w:p w14:paraId="1133D3C2">
      <w:pPr>
        <w:shd w:val="clear"/>
        <w:spacing w:line="360" w:lineRule="auto"/>
        <w:ind w:firstLine="480" w:firstLineChars="200"/>
        <w:rPr>
          <w:rFonts w:cs="仿宋"/>
          <w:bCs/>
          <w:highlight w:val="none"/>
        </w:rPr>
      </w:pPr>
      <w:r>
        <w:rPr>
          <w:rFonts w:hint="eastAsia" w:cs="仿宋"/>
          <w:bCs/>
          <w:highlight w:val="none"/>
        </w:rPr>
        <w:t>（2）没有按照招标文件要求缴纳投标保证金或提供银行保函的；</w:t>
      </w:r>
    </w:p>
    <w:p w14:paraId="631350B2">
      <w:pPr>
        <w:shd w:val="clear"/>
        <w:spacing w:line="360" w:lineRule="auto"/>
        <w:ind w:firstLine="480" w:firstLineChars="200"/>
        <w:rPr>
          <w:rFonts w:cs="仿宋"/>
          <w:bCs/>
          <w:highlight w:val="none"/>
        </w:rPr>
      </w:pPr>
      <w:r>
        <w:rPr>
          <w:rFonts w:hint="eastAsia" w:cs="仿宋"/>
          <w:bCs/>
          <w:highlight w:val="none"/>
        </w:rPr>
        <w:t>（3）投标文件未按招标文件要求盖章和签署的；</w:t>
      </w:r>
    </w:p>
    <w:p w14:paraId="2881FDAB">
      <w:pPr>
        <w:shd w:val="clear"/>
        <w:spacing w:line="360" w:lineRule="auto"/>
        <w:ind w:firstLine="480" w:firstLineChars="200"/>
        <w:rPr>
          <w:rFonts w:cs="仿宋"/>
          <w:bCs/>
          <w:highlight w:val="none"/>
        </w:rPr>
      </w:pPr>
      <w:r>
        <w:rPr>
          <w:rFonts w:hint="eastAsia" w:cs="仿宋"/>
          <w:bCs/>
          <w:highlight w:val="none"/>
        </w:rPr>
        <w:t>（4）经澄清，对报价的错误不接受修正的；</w:t>
      </w:r>
    </w:p>
    <w:p w14:paraId="4429E800">
      <w:pPr>
        <w:shd w:val="clear"/>
        <w:spacing w:line="360" w:lineRule="auto"/>
        <w:ind w:firstLine="480" w:firstLineChars="200"/>
        <w:rPr>
          <w:rFonts w:cs="仿宋"/>
          <w:bCs/>
          <w:highlight w:val="none"/>
        </w:rPr>
      </w:pPr>
      <w:r>
        <w:rPr>
          <w:rFonts w:hint="eastAsia" w:cs="仿宋"/>
          <w:bCs/>
          <w:highlight w:val="none"/>
        </w:rPr>
        <w:t>（5）对招标范围和工作内容有实质性偏差的；</w:t>
      </w:r>
    </w:p>
    <w:p w14:paraId="426CE907">
      <w:pPr>
        <w:shd w:val="clear"/>
        <w:spacing w:line="360" w:lineRule="auto"/>
        <w:ind w:firstLine="480" w:firstLineChars="200"/>
        <w:rPr>
          <w:rFonts w:cs="仿宋"/>
          <w:bCs/>
          <w:highlight w:val="none"/>
        </w:rPr>
      </w:pPr>
      <w:r>
        <w:rPr>
          <w:rFonts w:hint="eastAsia" w:cs="仿宋"/>
          <w:bCs/>
          <w:highlight w:val="none"/>
        </w:rPr>
        <w:t>（6）主要性能指标达不到招标文件要求的</w:t>
      </w:r>
    </w:p>
    <w:p w14:paraId="79F8EAB9">
      <w:pPr>
        <w:shd w:val="clear"/>
        <w:spacing w:line="360" w:lineRule="auto"/>
        <w:ind w:firstLine="480" w:firstLineChars="200"/>
        <w:rPr>
          <w:rFonts w:cs="仿宋"/>
          <w:bCs/>
          <w:highlight w:val="none"/>
        </w:rPr>
      </w:pPr>
      <w:r>
        <w:rPr>
          <w:rFonts w:hint="eastAsia" w:cs="仿宋"/>
          <w:bCs/>
          <w:highlight w:val="none"/>
        </w:rPr>
        <w:t>（7））有违反法律法规、弄虚作假的。</w:t>
      </w:r>
    </w:p>
    <w:p w14:paraId="4B7F2808">
      <w:pPr>
        <w:shd w:val="clear"/>
        <w:spacing w:line="360" w:lineRule="auto"/>
        <w:ind w:firstLine="480" w:firstLineChars="200"/>
        <w:rPr>
          <w:rFonts w:cs="仿宋"/>
          <w:highlight w:val="none"/>
        </w:rPr>
      </w:pPr>
      <w:r>
        <w:rPr>
          <w:rFonts w:hint="eastAsia" w:cs="仿宋"/>
          <w:highlight w:val="none"/>
        </w:rPr>
        <w:t>6.4.1.4投标文件澄清</w:t>
      </w:r>
    </w:p>
    <w:p w14:paraId="33AF0958">
      <w:pPr>
        <w:shd w:val="clear"/>
        <w:spacing w:line="360" w:lineRule="auto"/>
        <w:ind w:firstLine="480" w:firstLineChars="200"/>
        <w:rPr>
          <w:rFonts w:cs="仿宋"/>
          <w:highlight w:val="none"/>
        </w:rPr>
      </w:pPr>
      <w:r>
        <w:rPr>
          <w:rFonts w:hint="eastAsia" w:cs="仿宋"/>
          <w:highlight w:val="none"/>
        </w:rPr>
        <w:t>（1）投标文件中有含义不明确的内容、明显文字或者计算错误，评标委员会认为需要投标人做出必要的澄清、说明、或者对细微偏差进行补正的，提出澄清问题。</w:t>
      </w:r>
    </w:p>
    <w:p w14:paraId="2D0F03DB">
      <w:pPr>
        <w:shd w:val="clear"/>
        <w:spacing w:line="360" w:lineRule="auto"/>
        <w:ind w:firstLine="480" w:firstLineChars="200"/>
        <w:rPr>
          <w:rFonts w:cs="仿宋"/>
          <w:highlight w:val="none"/>
        </w:rPr>
      </w:pPr>
      <w:r>
        <w:rPr>
          <w:rFonts w:hint="eastAsia" w:cs="仿宋"/>
          <w:highlight w:val="none"/>
        </w:rPr>
        <w:t>（2）评标委员会的澄清问题不得要求或提出对投标文件实质性内容进行修改，澄清问题由评标委员会主任确认后发出。</w:t>
      </w:r>
    </w:p>
    <w:p w14:paraId="36EFAF86">
      <w:pPr>
        <w:shd w:val="clear"/>
        <w:spacing w:line="360" w:lineRule="auto"/>
        <w:ind w:firstLine="480" w:firstLineChars="200"/>
        <w:rPr>
          <w:rFonts w:cs="仿宋"/>
          <w:highlight w:val="none"/>
        </w:rPr>
      </w:pPr>
      <w:r>
        <w:rPr>
          <w:rFonts w:hint="eastAsia" w:cs="仿宋"/>
          <w:highlight w:val="none"/>
        </w:rPr>
        <w:t>（3）投标人的答复由其授权代表签字、加盖公章、签署日期后按要求发送，不得对原投标文件实质性内容进行修改，投标人的书面澄清、说明和补正属于投标文件的组成部分。</w:t>
      </w:r>
    </w:p>
    <w:p w14:paraId="07D31A87">
      <w:pPr>
        <w:shd w:val="clear"/>
        <w:spacing w:line="360" w:lineRule="auto"/>
        <w:ind w:firstLine="480" w:firstLineChars="200"/>
        <w:rPr>
          <w:rFonts w:cs="仿宋"/>
          <w:highlight w:val="none"/>
        </w:rPr>
      </w:pPr>
      <w:r>
        <w:rPr>
          <w:rFonts w:hint="eastAsia" w:cs="仿宋"/>
          <w:highlight w:val="none"/>
        </w:rPr>
        <w:t>（4）评标委员会不接受投标人主动提出的澄清、说明。</w:t>
      </w:r>
    </w:p>
    <w:p w14:paraId="18C49B10">
      <w:pPr>
        <w:shd w:val="clear"/>
        <w:spacing w:line="360" w:lineRule="auto"/>
        <w:ind w:firstLine="480" w:firstLineChars="200"/>
        <w:rPr>
          <w:rFonts w:cs="仿宋"/>
          <w:highlight w:val="none"/>
        </w:rPr>
      </w:pPr>
      <w:r>
        <w:rPr>
          <w:rFonts w:hint="eastAsia" w:cs="仿宋"/>
          <w:highlight w:val="none"/>
        </w:rPr>
        <w:t>（5）评标委员会的澄清问题和投标人的答复均以书面方式进行。</w:t>
      </w:r>
    </w:p>
    <w:p w14:paraId="61EB02B1">
      <w:pPr>
        <w:shd w:val="clear"/>
        <w:spacing w:line="360" w:lineRule="auto"/>
        <w:ind w:firstLine="480" w:firstLineChars="200"/>
        <w:rPr>
          <w:rFonts w:hint="eastAsia" w:cs="仿宋"/>
          <w:highlight w:val="none"/>
        </w:rPr>
      </w:pPr>
      <w:r>
        <w:rPr>
          <w:rFonts w:hint="eastAsia" w:cs="仿宋"/>
          <w:highlight w:val="none"/>
        </w:rPr>
        <w:t>6.4.2投标文件详细评标</w:t>
      </w:r>
    </w:p>
    <w:p w14:paraId="3FD7DEAD">
      <w:pPr>
        <w:shd w:val="clear"/>
        <w:spacing w:line="360" w:lineRule="auto"/>
        <w:ind w:firstLine="480" w:firstLineChars="200"/>
        <w:rPr>
          <w:rFonts w:cs="仿宋"/>
          <w:highlight w:val="none"/>
        </w:rPr>
      </w:pPr>
      <w:r>
        <w:rPr>
          <w:rFonts w:hint="eastAsia" w:cs="仿宋"/>
          <w:highlight w:val="none"/>
        </w:rPr>
        <w:t>评标委员会成员对通过初步评标的投标文件进行详细评标与打分排序。</w:t>
      </w:r>
    </w:p>
    <w:p w14:paraId="1268D868">
      <w:pPr>
        <w:shd w:val="clear"/>
        <w:spacing w:line="360" w:lineRule="auto"/>
        <w:ind w:firstLine="480" w:firstLineChars="200"/>
        <w:rPr>
          <w:rFonts w:cs="仿宋"/>
          <w:highlight w:val="none"/>
        </w:rPr>
      </w:pPr>
      <w:r>
        <w:rPr>
          <w:rFonts w:hint="eastAsia" w:cs="仿宋"/>
          <w:highlight w:val="none"/>
        </w:rPr>
        <w:t>6.4.3评标结果</w:t>
      </w:r>
    </w:p>
    <w:p w14:paraId="0AC67ABF">
      <w:pPr>
        <w:shd w:val="clear"/>
        <w:spacing w:line="360" w:lineRule="auto"/>
        <w:ind w:firstLine="480" w:firstLineChars="200"/>
        <w:rPr>
          <w:rFonts w:cs="仿宋"/>
          <w:highlight w:val="none"/>
        </w:rPr>
      </w:pPr>
      <w:r>
        <w:rPr>
          <w:rFonts w:hint="eastAsia" w:cs="仿宋"/>
          <w:highlight w:val="none"/>
        </w:rPr>
        <w:t>6.4.3.1评标委员会按照评标办法推荐中标候选人，具体的中标候选人数量见第三章5节2款。</w:t>
      </w:r>
    </w:p>
    <w:p w14:paraId="322CA249">
      <w:pPr>
        <w:shd w:val="clear"/>
        <w:spacing w:line="360" w:lineRule="auto"/>
        <w:ind w:firstLine="480" w:firstLineChars="200"/>
        <w:rPr>
          <w:rFonts w:cs="仿宋"/>
          <w:highlight w:val="none"/>
        </w:rPr>
      </w:pPr>
      <w:r>
        <w:rPr>
          <w:rFonts w:hint="eastAsia" w:cs="仿宋"/>
          <w:highlight w:val="none"/>
        </w:rPr>
        <w:t>6.4.3.2评标委员会完成评标后，向招标人提交评标报告。</w:t>
      </w:r>
    </w:p>
    <w:p w14:paraId="736830AC">
      <w:pPr>
        <w:pStyle w:val="63"/>
        <w:shd w:val="clear"/>
        <w:rPr>
          <w:rStyle w:val="95"/>
          <w:b/>
          <w:bCs/>
          <w:highlight w:val="none"/>
        </w:rPr>
      </w:pPr>
      <w:bookmarkStart w:id="105" w:name="_Toc506105854"/>
      <w:bookmarkStart w:id="106" w:name="_Toc507936046"/>
      <w:r>
        <w:rPr>
          <w:rStyle w:val="95"/>
          <w:rFonts w:hint="eastAsia"/>
          <w:b/>
          <w:bCs/>
          <w:highlight w:val="none"/>
        </w:rPr>
        <w:t>7.合同授予</w:t>
      </w:r>
      <w:bookmarkEnd w:id="105"/>
      <w:bookmarkEnd w:id="106"/>
    </w:p>
    <w:p w14:paraId="3D64AE01">
      <w:pPr>
        <w:shd w:val="clear"/>
        <w:spacing w:line="360" w:lineRule="auto"/>
        <w:ind w:firstLine="480" w:firstLineChars="200"/>
        <w:rPr>
          <w:rFonts w:hint="eastAsia" w:cs="仿宋"/>
          <w:highlight w:val="none"/>
        </w:rPr>
      </w:pPr>
      <w:r>
        <w:rPr>
          <w:rFonts w:hint="eastAsia" w:cs="仿宋"/>
          <w:highlight w:val="none"/>
        </w:rPr>
        <w:t>7.1中标候选人履约能力审查</w:t>
      </w:r>
    </w:p>
    <w:p w14:paraId="5997151B">
      <w:pPr>
        <w:shd w:val="clear"/>
        <w:spacing w:line="360" w:lineRule="auto"/>
        <w:ind w:firstLine="480" w:firstLineChars="200"/>
        <w:rPr>
          <w:rFonts w:hint="eastAsia" w:cs="仿宋"/>
          <w:highlight w:val="none"/>
        </w:rPr>
      </w:pPr>
      <w:r>
        <w:rPr>
          <w:rFonts w:hint="eastAsia" w:cs="仿宋"/>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0FEF1B6">
      <w:pPr>
        <w:shd w:val="clear"/>
        <w:spacing w:line="360" w:lineRule="auto"/>
        <w:ind w:firstLine="480" w:firstLineChars="200"/>
        <w:rPr>
          <w:rFonts w:hint="eastAsia" w:cs="仿宋"/>
          <w:highlight w:val="none"/>
        </w:rPr>
      </w:pPr>
      <w:r>
        <w:rPr>
          <w:rFonts w:hint="eastAsia" w:cs="仿宋"/>
          <w:highlight w:val="none"/>
        </w:rPr>
        <w:t>7.2评标结果异议</w:t>
      </w:r>
    </w:p>
    <w:p w14:paraId="0B80D521">
      <w:pPr>
        <w:shd w:val="clear"/>
        <w:spacing w:line="360" w:lineRule="auto"/>
        <w:ind w:firstLine="480" w:firstLineChars="200"/>
        <w:rPr>
          <w:rFonts w:hint="eastAsia" w:cs="仿宋"/>
          <w:highlight w:val="none"/>
        </w:rPr>
      </w:pPr>
      <w:r>
        <w:rPr>
          <w:rFonts w:hint="eastAsia" w:cs="仿宋"/>
          <w:highlight w:val="none"/>
        </w:rPr>
        <w:t>投标人或者其他利害关系人对评标结果有异议的，应当在中标候选人公示期间提出。招标人将在收到异议之日起3日内作出答复。</w:t>
      </w:r>
    </w:p>
    <w:p w14:paraId="33C9339E">
      <w:pPr>
        <w:shd w:val="clear"/>
        <w:spacing w:line="360" w:lineRule="auto"/>
        <w:ind w:firstLine="480" w:firstLineChars="200"/>
        <w:rPr>
          <w:rFonts w:hint="eastAsia" w:cs="仿宋"/>
          <w:highlight w:val="none"/>
        </w:rPr>
      </w:pPr>
      <w:r>
        <w:rPr>
          <w:rFonts w:hint="eastAsia" w:cs="仿宋"/>
          <w:highlight w:val="none"/>
        </w:rPr>
        <w:t>7.3定标</w:t>
      </w:r>
    </w:p>
    <w:p w14:paraId="327FBBBB">
      <w:pPr>
        <w:shd w:val="clear"/>
        <w:spacing w:line="360" w:lineRule="auto"/>
        <w:ind w:firstLine="480" w:firstLineChars="200"/>
        <w:rPr>
          <w:rFonts w:hint="eastAsia" w:cs="仿宋"/>
          <w:highlight w:val="none"/>
        </w:rPr>
      </w:pPr>
      <w:r>
        <w:rPr>
          <w:rFonts w:hint="eastAsia" w:cs="仿宋"/>
          <w:highlight w:val="none"/>
        </w:rPr>
        <w:t>按照投标人须知前附表的规定，招标人或招标人授权的评标委员会依法确定中标人。</w:t>
      </w:r>
    </w:p>
    <w:p w14:paraId="4B0B071A">
      <w:pPr>
        <w:shd w:val="clear"/>
        <w:spacing w:line="360" w:lineRule="auto"/>
        <w:ind w:firstLine="480" w:firstLineChars="200"/>
        <w:rPr>
          <w:rFonts w:hint="eastAsia" w:cs="仿宋"/>
          <w:highlight w:val="none"/>
        </w:rPr>
      </w:pPr>
      <w:r>
        <w:rPr>
          <w:rFonts w:hint="eastAsia" w:cs="仿宋"/>
          <w:highlight w:val="none"/>
        </w:rPr>
        <w:t>7.4中标通知</w:t>
      </w:r>
    </w:p>
    <w:p w14:paraId="3DF24E42">
      <w:pPr>
        <w:shd w:val="clear"/>
        <w:spacing w:line="360" w:lineRule="auto"/>
        <w:ind w:firstLine="480" w:firstLineChars="200"/>
        <w:rPr>
          <w:rFonts w:hint="eastAsia" w:cs="仿宋"/>
          <w:highlight w:val="none"/>
        </w:rPr>
      </w:pPr>
      <w:r>
        <w:rPr>
          <w:rFonts w:hint="eastAsia" w:cs="仿宋"/>
          <w:highlight w:val="none"/>
        </w:rPr>
        <w:t>在本章第3.3款规定的投标有效期内，中标结果通过</w:t>
      </w:r>
      <w:r>
        <w:rPr>
          <w:rFonts w:hint="eastAsia"/>
          <w:highlight w:val="none"/>
        </w:rPr>
        <w:t>济钢集团有限公司阳光购销平台（网址：</w:t>
      </w:r>
      <w:r>
        <w:rPr>
          <w:rFonts w:hint="eastAsia"/>
          <w:highlight w:val="none"/>
        </w:rPr>
        <w:fldChar w:fldCharType="begin"/>
      </w:r>
      <w:r>
        <w:rPr>
          <w:rFonts w:hint="eastAsia"/>
          <w:highlight w:val="none"/>
        </w:rPr>
        <w:instrText xml:space="preserve"> HYPERLINK "http://bidding.jigang.com.cn" </w:instrText>
      </w:r>
      <w:r>
        <w:rPr>
          <w:rFonts w:hint="eastAsia"/>
          <w:highlight w:val="none"/>
        </w:rPr>
        <w:fldChar w:fldCharType="separate"/>
      </w:r>
      <w:r>
        <w:rPr>
          <w:rFonts w:hint="eastAsia"/>
          <w:highlight w:val="none"/>
        </w:rPr>
        <w:t>http://bidding.jigang.com.cn</w:t>
      </w:r>
      <w:r>
        <w:rPr>
          <w:rFonts w:hint="eastAsia"/>
          <w:highlight w:val="none"/>
        </w:rPr>
        <w:fldChar w:fldCharType="end"/>
      </w:r>
      <w:r>
        <w:rPr>
          <w:rFonts w:hint="eastAsia"/>
          <w:highlight w:val="none"/>
        </w:rPr>
        <w:t xml:space="preserve">/） </w:t>
      </w:r>
      <w:r>
        <w:rPr>
          <w:rFonts w:hint="eastAsia" w:cs="仿宋"/>
          <w:highlight w:val="none"/>
        </w:rPr>
        <w:t>公示三天。公示期结束后，招标人以书面形式向中标人发出中标通知书。</w:t>
      </w:r>
    </w:p>
    <w:p w14:paraId="6872E1B3">
      <w:pPr>
        <w:shd w:val="clear"/>
        <w:spacing w:line="360" w:lineRule="auto"/>
        <w:ind w:firstLine="480" w:firstLineChars="200"/>
        <w:rPr>
          <w:rFonts w:hint="eastAsia" w:cs="仿宋"/>
          <w:highlight w:val="none"/>
        </w:rPr>
      </w:pPr>
      <w:r>
        <w:rPr>
          <w:rFonts w:hint="eastAsia" w:cs="仿宋"/>
          <w:highlight w:val="none"/>
        </w:rPr>
        <w:t>7.5履约保证金</w:t>
      </w:r>
    </w:p>
    <w:p w14:paraId="0C2E058D">
      <w:pPr>
        <w:shd w:val="clear"/>
        <w:spacing w:line="360" w:lineRule="auto"/>
        <w:ind w:firstLine="480" w:firstLineChars="200"/>
        <w:rPr>
          <w:rFonts w:hint="eastAsia" w:cs="仿宋"/>
          <w:highlight w:val="none"/>
        </w:rPr>
      </w:pPr>
      <w:r>
        <w:rPr>
          <w:rFonts w:hint="eastAsia" w:cs="仿宋"/>
          <w:highlight w:val="none"/>
        </w:rPr>
        <w:t>7.5.1在签订合同前，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w:t>
      </w:r>
    </w:p>
    <w:p w14:paraId="6410D8E7">
      <w:pPr>
        <w:shd w:val="clear"/>
        <w:spacing w:line="360" w:lineRule="auto"/>
        <w:ind w:firstLine="480" w:firstLineChars="200"/>
        <w:rPr>
          <w:rFonts w:hint="eastAsia" w:cs="仿宋"/>
          <w:highlight w:val="none"/>
        </w:rPr>
      </w:pPr>
      <w:r>
        <w:rPr>
          <w:rFonts w:hint="eastAsia" w:cs="仿宋"/>
          <w:highlight w:val="none"/>
        </w:rPr>
        <w:t>7.5.2中标人不能按本章第7.5.1项要求提交履约保证金的，视为放弃中标，其投标保证金不予退还，给招标人造成的损失超过投标保证金数额的，中标人还应当对超过部分予以赔偿。</w:t>
      </w:r>
    </w:p>
    <w:p w14:paraId="0BE31C25">
      <w:pPr>
        <w:shd w:val="clear"/>
        <w:spacing w:line="360" w:lineRule="auto"/>
        <w:ind w:firstLine="480" w:firstLineChars="200"/>
        <w:rPr>
          <w:rFonts w:hint="eastAsia" w:cs="仿宋"/>
          <w:highlight w:val="none"/>
        </w:rPr>
      </w:pPr>
      <w:r>
        <w:rPr>
          <w:rFonts w:hint="eastAsia" w:cs="仿宋"/>
          <w:highlight w:val="none"/>
        </w:rPr>
        <w:t>7.6 中标服务费：见投标人须知前附表。</w:t>
      </w:r>
    </w:p>
    <w:p w14:paraId="20C8FD40">
      <w:pPr>
        <w:shd w:val="clear"/>
        <w:spacing w:line="360" w:lineRule="auto"/>
        <w:ind w:firstLine="480" w:firstLineChars="200"/>
        <w:rPr>
          <w:rFonts w:hint="eastAsia" w:cs="仿宋"/>
          <w:highlight w:val="none"/>
        </w:rPr>
      </w:pPr>
      <w:r>
        <w:rPr>
          <w:rFonts w:hint="eastAsia" w:cs="仿宋"/>
          <w:highlight w:val="none"/>
        </w:rPr>
        <w:t>7.7签订合同</w:t>
      </w:r>
    </w:p>
    <w:p w14:paraId="72F00C0F">
      <w:pPr>
        <w:shd w:val="clear"/>
        <w:spacing w:line="360" w:lineRule="auto"/>
        <w:ind w:firstLine="480" w:firstLineChars="200"/>
        <w:rPr>
          <w:rFonts w:hint="eastAsia" w:cs="仿宋"/>
          <w:highlight w:val="none"/>
        </w:rPr>
      </w:pPr>
      <w:r>
        <w:rPr>
          <w:rFonts w:hint="eastAsia" w:cs="仿宋"/>
          <w:highlight w:val="none"/>
        </w:rPr>
        <w:t>7.7.1招标人和中标人应当在中标通知书发出之日起</w:t>
      </w:r>
      <w:r>
        <w:rPr>
          <w:rFonts w:hint="eastAsia" w:cs="仿宋"/>
          <w:highlight w:val="none"/>
          <w:lang w:val="en-US" w:eastAsia="zh-CN"/>
        </w:rPr>
        <w:t>7</w:t>
      </w:r>
      <w:r>
        <w:rPr>
          <w:rFonts w:hint="eastAsia" w:cs="仿宋"/>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73C42F">
      <w:pPr>
        <w:shd w:val="clear"/>
        <w:spacing w:line="360" w:lineRule="auto"/>
        <w:ind w:firstLine="480" w:firstLineChars="200"/>
        <w:rPr>
          <w:rFonts w:hint="eastAsia" w:cs="仿宋"/>
          <w:highlight w:val="none"/>
        </w:rPr>
      </w:pPr>
      <w:r>
        <w:rPr>
          <w:rFonts w:hint="eastAsia" w:cs="仿宋"/>
          <w:highlight w:val="none"/>
        </w:rPr>
        <w:t>7.7.2发出中标通知书后，招标人无正当理由拒签合同，或者在签订合同时向中标人提出附加条件的，招标人向中标人退还投标保证金；给中标人造成损失的，还应当赔偿损失。</w:t>
      </w:r>
    </w:p>
    <w:p w14:paraId="711CB6E6">
      <w:pPr>
        <w:pStyle w:val="63"/>
        <w:shd w:val="clear"/>
        <w:rPr>
          <w:rStyle w:val="95"/>
          <w:rFonts w:hint="eastAsia"/>
          <w:b/>
          <w:bCs/>
          <w:highlight w:val="none"/>
        </w:rPr>
      </w:pPr>
      <w:bookmarkStart w:id="107" w:name="_Toc506105859"/>
      <w:bookmarkStart w:id="108" w:name="_Toc507936051"/>
      <w:r>
        <w:rPr>
          <w:rStyle w:val="95"/>
          <w:rFonts w:hint="eastAsia"/>
          <w:b/>
          <w:bCs/>
          <w:highlight w:val="none"/>
        </w:rPr>
        <w:t>8.重新</w:t>
      </w:r>
      <w:bookmarkEnd w:id="107"/>
      <w:bookmarkEnd w:id="108"/>
      <w:bookmarkStart w:id="109" w:name="_Toc506105860"/>
      <w:r>
        <w:rPr>
          <w:rStyle w:val="95"/>
          <w:rFonts w:hint="eastAsia"/>
          <w:b/>
          <w:bCs/>
          <w:highlight w:val="none"/>
        </w:rPr>
        <w:t>招标</w:t>
      </w:r>
    </w:p>
    <w:bookmarkEnd w:id="109"/>
    <w:p w14:paraId="456E0DA6">
      <w:pPr>
        <w:pStyle w:val="58"/>
        <w:shd w:val="clear"/>
        <w:rPr>
          <w:rFonts w:hint="eastAsia"/>
          <w:highlight w:val="none"/>
        </w:rPr>
      </w:pPr>
      <w:bookmarkStart w:id="110" w:name="_Toc507936052"/>
      <w:r>
        <w:rPr>
          <w:rFonts w:hint="eastAsia"/>
          <w:highlight w:val="none"/>
        </w:rPr>
        <w:t>8.1重新</w:t>
      </w:r>
      <w:bookmarkEnd w:id="110"/>
      <w:r>
        <w:rPr>
          <w:rFonts w:hint="eastAsia"/>
          <w:highlight w:val="none"/>
        </w:rPr>
        <w:t>招标</w:t>
      </w:r>
    </w:p>
    <w:p w14:paraId="7AAD32E6">
      <w:pPr>
        <w:shd w:val="clear"/>
        <w:spacing w:line="360" w:lineRule="auto"/>
        <w:rPr>
          <w:rFonts w:cs="仿宋"/>
          <w:sz w:val="28"/>
          <w:szCs w:val="28"/>
          <w:highlight w:val="none"/>
        </w:rPr>
      </w:pPr>
      <w:r>
        <w:rPr>
          <w:rFonts w:hint="eastAsia" w:cs="仿宋"/>
          <w:highlight w:val="none"/>
        </w:rPr>
        <w:t>详见投标人须知前附表</w:t>
      </w:r>
    </w:p>
    <w:p w14:paraId="30510A57">
      <w:pPr>
        <w:pStyle w:val="63"/>
        <w:shd w:val="clear"/>
        <w:rPr>
          <w:rStyle w:val="95"/>
          <w:b/>
          <w:bCs/>
          <w:highlight w:val="none"/>
        </w:rPr>
      </w:pPr>
      <w:bookmarkStart w:id="111" w:name="_Toc446434333"/>
      <w:bookmarkStart w:id="112" w:name="_Toc152045574"/>
      <w:bookmarkStart w:id="113" w:name="_Toc144974542"/>
      <w:bookmarkStart w:id="114" w:name="_Toc507936053"/>
      <w:bookmarkStart w:id="115" w:name="_Toc312072272"/>
      <w:bookmarkStart w:id="116" w:name="_Toc269310962"/>
      <w:bookmarkStart w:id="117" w:name="_Toc152042350"/>
      <w:r>
        <w:rPr>
          <w:rStyle w:val="95"/>
          <w:b/>
          <w:bCs/>
          <w:highlight w:val="none"/>
        </w:rPr>
        <w:t xml:space="preserve">9. </w:t>
      </w:r>
      <w:r>
        <w:rPr>
          <w:rStyle w:val="95"/>
          <w:rFonts w:hint="eastAsia"/>
          <w:b/>
          <w:bCs/>
          <w:highlight w:val="none"/>
        </w:rPr>
        <w:t>纪律和监督</w:t>
      </w:r>
      <w:bookmarkEnd w:id="111"/>
      <w:bookmarkEnd w:id="112"/>
      <w:bookmarkEnd w:id="113"/>
      <w:bookmarkEnd w:id="114"/>
      <w:bookmarkEnd w:id="115"/>
      <w:bookmarkEnd w:id="116"/>
      <w:bookmarkEnd w:id="117"/>
    </w:p>
    <w:p w14:paraId="79E6B2CB">
      <w:pPr>
        <w:pStyle w:val="58"/>
        <w:shd w:val="clear"/>
        <w:rPr>
          <w:rFonts w:hint="eastAsia"/>
          <w:highlight w:val="none"/>
        </w:rPr>
      </w:pPr>
      <w:bookmarkStart w:id="118" w:name="_Toc507936054"/>
      <w:bookmarkStart w:id="119" w:name="_Toc152045580"/>
      <w:bookmarkStart w:id="120" w:name="_Toc152042357"/>
      <w:bookmarkStart w:id="121" w:name="_Toc269310968"/>
      <w:bookmarkStart w:id="122" w:name="_Toc144974547"/>
      <w:r>
        <w:rPr>
          <w:rFonts w:hint="eastAsia"/>
          <w:highlight w:val="none"/>
        </w:rPr>
        <w:t>9.1对招标人的纪律要求</w:t>
      </w:r>
      <w:bookmarkEnd w:id="118"/>
    </w:p>
    <w:p w14:paraId="409E339C">
      <w:pPr>
        <w:shd w:val="clear"/>
        <w:spacing w:line="400" w:lineRule="exact"/>
        <w:ind w:firstLine="480" w:firstLineChars="200"/>
        <w:rPr>
          <w:highlight w:val="none"/>
        </w:rPr>
      </w:pPr>
      <w:r>
        <w:rPr>
          <w:rFonts w:hint="eastAsia"/>
          <w:highlight w:val="none"/>
        </w:rPr>
        <w:t>招标人不得泄漏招标活动中应当保密的情况和资料，不得与投标人串通损害国家利益、社会公共利益和他人合法权益。</w:t>
      </w:r>
    </w:p>
    <w:p w14:paraId="5F7E9547">
      <w:pPr>
        <w:pStyle w:val="58"/>
        <w:shd w:val="clear"/>
        <w:rPr>
          <w:rFonts w:hint="eastAsia"/>
          <w:highlight w:val="none"/>
        </w:rPr>
      </w:pPr>
      <w:bookmarkStart w:id="123" w:name="_Toc507936055"/>
      <w:r>
        <w:rPr>
          <w:rFonts w:hint="eastAsia"/>
          <w:highlight w:val="none"/>
        </w:rPr>
        <w:t>9.2对投标人的纪律要求</w:t>
      </w:r>
      <w:bookmarkEnd w:id="123"/>
    </w:p>
    <w:p w14:paraId="3005C101">
      <w:pPr>
        <w:shd w:val="clear"/>
        <w:spacing w:line="400" w:lineRule="exact"/>
        <w:ind w:firstLine="480" w:firstLineChars="200"/>
        <w:rPr>
          <w:highlight w:val="none"/>
        </w:rPr>
      </w:pPr>
      <w:r>
        <w:rPr>
          <w:rFonts w:hint="eastAsia"/>
          <w:highlight w:val="none"/>
        </w:rPr>
        <w:t>投标人不得相互串通或者与招标人串通，不得向招标人或者评标委员会成员行贿谋取</w:t>
      </w:r>
      <w:r>
        <w:rPr>
          <w:rFonts w:hint="eastAsia" w:cs="仿宋"/>
          <w:highlight w:val="none"/>
        </w:rPr>
        <w:t>中标</w:t>
      </w:r>
      <w:r>
        <w:rPr>
          <w:rFonts w:hint="eastAsia"/>
          <w:highlight w:val="none"/>
        </w:rPr>
        <w:t>，不得以他人名义参加招标或者以其他方式弄虚作假骗取</w:t>
      </w:r>
      <w:r>
        <w:rPr>
          <w:rFonts w:hint="eastAsia" w:cs="仿宋"/>
          <w:highlight w:val="none"/>
        </w:rPr>
        <w:t>中标</w:t>
      </w:r>
      <w:r>
        <w:rPr>
          <w:rFonts w:hint="eastAsia"/>
          <w:highlight w:val="none"/>
        </w:rPr>
        <w:t>；投标人不得以任何方式干扰、影响评标工作。</w:t>
      </w:r>
    </w:p>
    <w:p w14:paraId="0FB17CE7">
      <w:pPr>
        <w:pStyle w:val="58"/>
        <w:shd w:val="clear"/>
        <w:rPr>
          <w:highlight w:val="none"/>
        </w:rPr>
      </w:pPr>
      <w:bookmarkStart w:id="124" w:name="_Toc312072275"/>
      <w:bookmarkStart w:id="125" w:name="_Toc446434336"/>
      <w:bookmarkStart w:id="126" w:name="_Toc507936056"/>
      <w:r>
        <w:rPr>
          <w:highlight w:val="none"/>
        </w:rPr>
        <w:t xml:space="preserve">9.3 </w:t>
      </w:r>
      <w:r>
        <w:rPr>
          <w:rFonts w:hint="eastAsia"/>
          <w:highlight w:val="none"/>
        </w:rPr>
        <w:t>对评标委员会成员的纪律要求</w:t>
      </w:r>
      <w:bookmarkEnd w:id="124"/>
      <w:bookmarkEnd w:id="125"/>
      <w:bookmarkEnd w:id="126"/>
    </w:p>
    <w:p w14:paraId="463CA9FC">
      <w:pPr>
        <w:shd w:val="clear"/>
        <w:spacing w:line="400" w:lineRule="exact"/>
        <w:ind w:firstLine="480" w:firstLineChars="200"/>
        <w:rPr>
          <w:highlight w:val="none"/>
        </w:rPr>
      </w:pPr>
      <w:r>
        <w:rPr>
          <w:rFonts w:hint="eastAsia"/>
          <w:highlight w:val="none"/>
        </w:rPr>
        <w:t>评标委员会成员不得收受他人的财物或者其他好处，不得向他人透漏对投标文件的评标和比较、中标候选人的推荐情况以及与评标有关的其他情况。在评标活动中，评标委员会成员不得擅离职守，影响评标程序正常进行，不得使用第三章“评标办法”没有规定的评标因素和标准进行评标。</w:t>
      </w:r>
    </w:p>
    <w:p w14:paraId="3CACB69C">
      <w:pPr>
        <w:pStyle w:val="58"/>
        <w:shd w:val="clear"/>
        <w:rPr>
          <w:highlight w:val="none"/>
        </w:rPr>
      </w:pPr>
      <w:bookmarkStart w:id="127" w:name="_Toc312072276"/>
      <w:bookmarkStart w:id="128" w:name="_Toc446434337"/>
      <w:bookmarkStart w:id="129" w:name="_Toc507936057"/>
      <w:r>
        <w:rPr>
          <w:highlight w:val="none"/>
        </w:rPr>
        <w:t xml:space="preserve">9.4 </w:t>
      </w:r>
      <w:r>
        <w:rPr>
          <w:rFonts w:hint="eastAsia"/>
          <w:highlight w:val="none"/>
        </w:rPr>
        <w:t>对与评标活动有关的工作人员的纪律要求</w:t>
      </w:r>
      <w:bookmarkEnd w:id="127"/>
      <w:bookmarkEnd w:id="128"/>
      <w:bookmarkEnd w:id="129"/>
    </w:p>
    <w:p w14:paraId="533F5DD6">
      <w:pPr>
        <w:shd w:val="clear"/>
        <w:spacing w:line="400" w:lineRule="exact"/>
        <w:ind w:firstLine="480" w:firstLineChars="200"/>
        <w:rPr>
          <w:highlight w:val="none"/>
        </w:rPr>
      </w:pPr>
      <w:r>
        <w:rPr>
          <w:rFonts w:hint="eastAsia"/>
          <w:highlight w:val="none"/>
        </w:rPr>
        <w:t>与评标活动有关的工作人员不得收受他人的财物或者其他好处，不得向他人透漏对投标文件的评标和比较、</w:t>
      </w:r>
      <w:r>
        <w:rPr>
          <w:rFonts w:hint="eastAsia" w:cs="仿宋"/>
          <w:highlight w:val="none"/>
        </w:rPr>
        <w:t>中标</w:t>
      </w:r>
      <w:r>
        <w:rPr>
          <w:rFonts w:hint="eastAsia"/>
          <w:highlight w:val="none"/>
        </w:rPr>
        <w:t>候选人的推荐情况以及与评标有关的其他情况。在评标活动中，与评标活动有关的工作人员不得擅离职守，影响评标程序正常进行。</w:t>
      </w:r>
    </w:p>
    <w:p w14:paraId="102D7128">
      <w:pPr>
        <w:pStyle w:val="58"/>
        <w:shd w:val="clear"/>
        <w:rPr>
          <w:highlight w:val="none"/>
        </w:rPr>
      </w:pPr>
      <w:bookmarkStart w:id="130" w:name="_Toc446434338"/>
      <w:bookmarkStart w:id="131" w:name="_Toc312072277"/>
      <w:bookmarkStart w:id="132" w:name="_Toc507936058"/>
      <w:r>
        <w:rPr>
          <w:highlight w:val="none"/>
        </w:rPr>
        <w:t xml:space="preserve">9.5 </w:t>
      </w:r>
      <w:r>
        <w:rPr>
          <w:rFonts w:hint="eastAsia"/>
          <w:highlight w:val="none"/>
        </w:rPr>
        <w:t>投诉</w:t>
      </w:r>
      <w:bookmarkEnd w:id="130"/>
      <w:bookmarkEnd w:id="131"/>
      <w:bookmarkEnd w:id="132"/>
    </w:p>
    <w:p w14:paraId="77AC0EB2">
      <w:pPr>
        <w:shd w:val="clear"/>
        <w:spacing w:line="400" w:lineRule="exact"/>
        <w:ind w:firstLine="480" w:firstLineChars="200"/>
        <w:rPr>
          <w:highlight w:val="none"/>
        </w:rPr>
      </w:pPr>
      <w:bookmarkStart w:id="133" w:name="_Toc312072278"/>
      <w:r>
        <w:rPr>
          <w:rFonts w:hint="eastAsia"/>
          <w:highlight w:val="none"/>
        </w:rPr>
        <w:t>投标人和其他利害关系人认为本次招标活动违反法律、法规和规章规定的，有权向市建设行政主管部门和相关监督部门投诉。</w:t>
      </w:r>
    </w:p>
    <w:p w14:paraId="1730AC46">
      <w:pPr>
        <w:pStyle w:val="58"/>
        <w:shd w:val="clear"/>
        <w:jc w:val="center"/>
        <w:rPr>
          <w:rStyle w:val="95"/>
          <w:b/>
          <w:bCs/>
          <w:highlight w:val="none"/>
        </w:rPr>
      </w:pPr>
      <w:bookmarkStart w:id="134" w:name="_Toc507936059"/>
      <w:bookmarkStart w:id="135" w:name="_Toc446434339"/>
      <w:r>
        <w:rPr>
          <w:rStyle w:val="95"/>
          <w:b/>
          <w:bCs/>
          <w:highlight w:val="none"/>
        </w:rPr>
        <w:t xml:space="preserve">10. </w:t>
      </w:r>
      <w:r>
        <w:rPr>
          <w:rStyle w:val="95"/>
          <w:rFonts w:hint="eastAsia"/>
          <w:b/>
          <w:bCs/>
          <w:highlight w:val="none"/>
        </w:rPr>
        <w:t>需要补充的其他内容</w:t>
      </w:r>
      <w:bookmarkEnd w:id="119"/>
      <w:bookmarkEnd w:id="120"/>
      <w:bookmarkEnd w:id="121"/>
      <w:bookmarkEnd w:id="122"/>
      <w:bookmarkEnd w:id="133"/>
      <w:bookmarkEnd w:id="134"/>
      <w:bookmarkEnd w:id="135"/>
    </w:p>
    <w:p w14:paraId="395873DD">
      <w:pPr>
        <w:shd w:val="clear"/>
        <w:spacing w:line="360" w:lineRule="auto"/>
        <w:rPr>
          <w:rFonts w:hint="eastAsia"/>
          <w:highlight w:val="none"/>
        </w:rPr>
      </w:pPr>
      <w:r>
        <w:rPr>
          <w:rFonts w:hint="eastAsia"/>
          <w:highlight w:val="none"/>
        </w:rPr>
        <w:t>10.1评委投票方式：见投标人须知前附表。</w:t>
      </w:r>
    </w:p>
    <w:p w14:paraId="3BD03939">
      <w:pPr>
        <w:shd w:val="clear"/>
        <w:spacing w:line="360" w:lineRule="auto"/>
        <w:rPr>
          <w:rFonts w:hint="eastAsia"/>
          <w:highlight w:val="none"/>
        </w:rPr>
      </w:pPr>
      <w:r>
        <w:rPr>
          <w:rFonts w:hint="eastAsia"/>
          <w:highlight w:val="none"/>
        </w:rPr>
        <w:t>10.2投标人对招标文件认可的界定：见投标人须知前附表。</w:t>
      </w:r>
    </w:p>
    <w:p w14:paraId="6AF518E0">
      <w:pPr>
        <w:pStyle w:val="55"/>
        <w:shd w:val="clear"/>
        <w:spacing w:before="156"/>
        <w:rPr>
          <w:highlight w:val="none"/>
        </w:rPr>
      </w:pPr>
      <w:bookmarkStart w:id="136" w:name="_Toc507936060"/>
      <w:bookmarkStart w:id="137" w:name="_Toc506105866"/>
      <w:r>
        <w:rPr>
          <w:highlight w:val="none"/>
        </w:rPr>
        <w:br w:type="page"/>
      </w:r>
      <w:bookmarkStart w:id="138" w:name="_Toc24184_WPSOffice_Level1"/>
      <w:bookmarkStart w:id="139" w:name="_Toc17549_WPSOffice_Level1"/>
      <w:r>
        <w:rPr>
          <w:rFonts w:hint="eastAsia"/>
          <w:highlight w:val="none"/>
        </w:rPr>
        <w:t>第三章  评标办法</w:t>
      </w:r>
      <w:bookmarkEnd w:id="136"/>
      <w:bookmarkEnd w:id="137"/>
      <w:bookmarkEnd w:id="138"/>
      <w:bookmarkEnd w:id="139"/>
    </w:p>
    <w:p w14:paraId="397491AB">
      <w:pPr>
        <w:shd w:val="clear"/>
        <w:tabs>
          <w:tab w:val="left" w:pos="6237"/>
        </w:tabs>
        <w:spacing w:line="360" w:lineRule="auto"/>
        <w:ind w:firstLine="480" w:firstLineChars="200"/>
        <w:rPr>
          <w:rFonts w:cs="仿宋"/>
          <w:bCs/>
          <w:color w:val="000000"/>
          <w:highlight w:val="none"/>
        </w:rPr>
      </w:pPr>
      <w:r>
        <w:rPr>
          <w:rFonts w:hint="eastAsia" w:cs="仿宋"/>
          <w:bCs/>
          <w:color w:val="000000"/>
          <w:highlight w:val="none"/>
        </w:rPr>
        <w:t>为规范招标工作，制定本办法。</w:t>
      </w:r>
    </w:p>
    <w:p w14:paraId="4C7C3D76">
      <w:pPr>
        <w:shd w:val="clear"/>
        <w:spacing w:line="360" w:lineRule="auto"/>
        <w:rPr>
          <w:rFonts w:cs="仿宋"/>
          <w:color w:val="000000"/>
          <w:highlight w:val="none"/>
        </w:rPr>
      </w:pPr>
      <w:r>
        <w:rPr>
          <w:rFonts w:hint="eastAsia" w:cs="仿宋"/>
          <w:color w:val="000000"/>
          <w:highlight w:val="none"/>
        </w:rPr>
        <w:t>一、评标方法</w:t>
      </w:r>
    </w:p>
    <w:p w14:paraId="3DDE1F65">
      <w:pPr>
        <w:shd w:val="clear"/>
        <w:spacing w:line="360" w:lineRule="auto"/>
        <w:ind w:firstLine="480" w:firstLineChars="200"/>
        <w:rPr>
          <w:rFonts w:cs="仿宋"/>
          <w:bCs/>
          <w:color w:val="000000"/>
          <w:highlight w:val="none"/>
        </w:rPr>
      </w:pPr>
      <w:r>
        <w:rPr>
          <w:rFonts w:hint="eastAsia" w:cs="仿宋"/>
          <w:bCs/>
          <w:color w:val="000000"/>
          <w:highlight w:val="none"/>
        </w:rPr>
        <w:t>按评分标准表进行评标。</w:t>
      </w:r>
    </w:p>
    <w:p w14:paraId="205C4EC3">
      <w:pPr>
        <w:shd w:val="clear"/>
        <w:spacing w:line="360" w:lineRule="auto"/>
        <w:rPr>
          <w:rFonts w:cs="仿宋"/>
          <w:color w:val="000000"/>
          <w:highlight w:val="none"/>
        </w:rPr>
      </w:pPr>
      <w:r>
        <w:rPr>
          <w:rFonts w:hint="eastAsia" w:cs="仿宋"/>
          <w:bCs/>
          <w:color w:val="000000"/>
          <w:highlight w:val="none"/>
        </w:rPr>
        <w:t>二、评标原则</w:t>
      </w:r>
    </w:p>
    <w:p w14:paraId="2A383A76">
      <w:pPr>
        <w:shd w:val="clear"/>
        <w:spacing w:line="360" w:lineRule="auto"/>
        <w:ind w:firstLine="480" w:firstLineChars="200"/>
        <w:rPr>
          <w:rFonts w:cs="仿宋"/>
          <w:color w:val="000000"/>
          <w:highlight w:val="none"/>
        </w:rPr>
      </w:pPr>
      <w:r>
        <w:rPr>
          <w:rFonts w:hint="eastAsia" w:cs="仿宋"/>
          <w:bCs/>
          <w:color w:val="000000"/>
          <w:highlight w:val="none"/>
        </w:rPr>
        <w:t>评标遵循公平、公正、科学、择优的原则。</w:t>
      </w:r>
    </w:p>
    <w:p w14:paraId="16247F73">
      <w:pPr>
        <w:shd w:val="clear"/>
        <w:spacing w:line="360" w:lineRule="auto"/>
        <w:rPr>
          <w:rFonts w:cs="仿宋"/>
          <w:color w:val="000000"/>
          <w:highlight w:val="none"/>
        </w:rPr>
      </w:pPr>
      <w:r>
        <w:rPr>
          <w:rFonts w:hint="eastAsia" w:cs="仿宋"/>
          <w:bCs/>
          <w:color w:val="000000"/>
          <w:highlight w:val="none"/>
        </w:rPr>
        <w:t>三、评标组织及服务</w:t>
      </w:r>
    </w:p>
    <w:p w14:paraId="57E3A023">
      <w:pPr>
        <w:shd w:val="clear"/>
        <w:spacing w:line="360" w:lineRule="auto"/>
        <w:ind w:firstLine="480" w:firstLineChars="200"/>
        <w:rPr>
          <w:rFonts w:cs="仿宋"/>
          <w:bCs/>
          <w:color w:val="000000"/>
          <w:highlight w:val="none"/>
        </w:rPr>
      </w:pPr>
      <w:r>
        <w:rPr>
          <w:rFonts w:hint="eastAsia" w:cs="仿宋"/>
          <w:bCs/>
          <w:color w:val="000000"/>
          <w:highlight w:val="none"/>
        </w:rPr>
        <w:t>1、为做好评标工作，成立评标委员会和工作小组。</w:t>
      </w:r>
    </w:p>
    <w:p w14:paraId="16165A1F">
      <w:pPr>
        <w:shd w:val="clear"/>
        <w:spacing w:line="360" w:lineRule="auto"/>
        <w:ind w:firstLine="480" w:firstLineChars="200"/>
        <w:rPr>
          <w:rFonts w:cs="仿宋"/>
          <w:bCs/>
          <w:color w:val="000000"/>
          <w:highlight w:val="none"/>
        </w:rPr>
      </w:pPr>
      <w:r>
        <w:rPr>
          <w:rFonts w:hint="eastAsia" w:cs="仿宋"/>
          <w:bCs/>
          <w:color w:val="000000"/>
          <w:highlight w:val="none"/>
        </w:rPr>
        <w:t>2、评标委员会</w:t>
      </w:r>
    </w:p>
    <w:p w14:paraId="0BDD35A7">
      <w:pPr>
        <w:shd w:val="clear"/>
        <w:spacing w:line="360" w:lineRule="auto"/>
        <w:ind w:firstLine="480" w:firstLineChars="200"/>
        <w:rPr>
          <w:rFonts w:cs="仿宋"/>
          <w:bCs/>
          <w:color w:val="000000"/>
          <w:highlight w:val="none"/>
        </w:rPr>
      </w:pPr>
      <w:r>
        <w:rPr>
          <w:rFonts w:hint="eastAsia" w:cs="仿宋"/>
          <w:bCs/>
          <w:color w:val="000000"/>
          <w:highlight w:val="none"/>
        </w:rPr>
        <w:t>2.1评标委员会由招标人依法组建，评标委员会成员由招标人代表及熟悉相关业务的有关技术、经济等方面的专家组成。</w:t>
      </w:r>
    </w:p>
    <w:p w14:paraId="67240CCA">
      <w:pPr>
        <w:shd w:val="clear"/>
        <w:spacing w:line="360" w:lineRule="auto"/>
        <w:ind w:firstLine="480" w:firstLineChars="200"/>
        <w:rPr>
          <w:rFonts w:cs="仿宋"/>
          <w:bCs/>
          <w:color w:val="000000"/>
          <w:highlight w:val="none"/>
        </w:rPr>
      </w:pPr>
      <w:r>
        <w:rPr>
          <w:rFonts w:hint="eastAsia" w:cs="仿宋"/>
          <w:bCs/>
          <w:color w:val="000000"/>
          <w:highlight w:val="none"/>
        </w:rPr>
        <w:t>2.2评标委员会成员为5人及以上单数。</w:t>
      </w:r>
    </w:p>
    <w:p w14:paraId="627EE549">
      <w:pPr>
        <w:shd w:val="clear"/>
        <w:spacing w:line="360" w:lineRule="auto"/>
        <w:ind w:firstLine="480" w:firstLineChars="200"/>
        <w:rPr>
          <w:rFonts w:cs="仿宋"/>
          <w:bCs/>
          <w:color w:val="000000"/>
          <w:highlight w:val="none"/>
        </w:rPr>
      </w:pPr>
      <w:r>
        <w:rPr>
          <w:rFonts w:hint="eastAsia" w:cs="仿宋"/>
          <w:bCs/>
          <w:color w:val="000000"/>
          <w:highlight w:val="none"/>
        </w:rPr>
        <w:t>2.3评标工作由评标委员会负责。</w:t>
      </w:r>
    </w:p>
    <w:p w14:paraId="380D1775">
      <w:pPr>
        <w:shd w:val="clear"/>
        <w:spacing w:line="360" w:lineRule="auto"/>
        <w:ind w:firstLine="480" w:firstLineChars="200"/>
        <w:rPr>
          <w:rFonts w:cs="仿宋"/>
          <w:bCs/>
          <w:color w:val="000000"/>
          <w:highlight w:val="none"/>
        </w:rPr>
      </w:pPr>
      <w:r>
        <w:rPr>
          <w:rFonts w:hint="eastAsia" w:cs="仿宋"/>
          <w:bCs/>
          <w:color w:val="000000"/>
          <w:highlight w:val="none"/>
        </w:rPr>
        <w:t>3、工作小组</w:t>
      </w:r>
    </w:p>
    <w:p w14:paraId="7C1F7185">
      <w:pPr>
        <w:shd w:val="clear"/>
        <w:spacing w:line="360" w:lineRule="auto"/>
        <w:ind w:firstLine="480" w:firstLineChars="200"/>
        <w:rPr>
          <w:rFonts w:cs="仿宋"/>
          <w:bCs/>
          <w:color w:val="000000"/>
          <w:highlight w:val="none"/>
        </w:rPr>
      </w:pPr>
      <w:r>
        <w:rPr>
          <w:rFonts w:hint="eastAsia" w:cs="仿宋"/>
          <w:bCs/>
          <w:color w:val="000000"/>
          <w:highlight w:val="none"/>
        </w:rPr>
        <w:t>3.1由招标人组成工作小组，为评标委员会服务。</w:t>
      </w:r>
    </w:p>
    <w:p w14:paraId="5279B353">
      <w:pPr>
        <w:shd w:val="clear"/>
        <w:spacing w:line="360" w:lineRule="auto"/>
        <w:ind w:firstLine="480" w:firstLineChars="200"/>
        <w:rPr>
          <w:rFonts w:cs="仿宋"/>
          <w:bCs/>
          <w:color w:val="000000"/>
          <w:highlight w:val="none"/>
        </w:rPr>
      </w:pPr>
      <w:r>
        <w:rPr>
          <w:rFonts w:hint="eastAsia" w:cs="仿宋"/>
          <w:bCs/>
          <w:color w:val="000000"/>
          <w:highlight w:val="none"/>
        </w:rPr>
        <w:t>3.2工作小组承担保管招标文件、投标文件、发放评标资料、投标文件摘录汇总、基础数据对比及会议服务。</w:t>
      </w:r>
    </w:p>
    <w:p w14:paraId="05E28EF0">
      <w:pPr>
        <w:shd w:val="clear"/>
        <w:spacing w:line="360" w:lineRule="auto"/>
        <w:rPr>
          <w:rFonts w:cs="仿宋"/>
          <w:bCs/>
          <w:color w:val="000000"/>
          <w:highlight w:val="none"/>
        </w:rPr>
      </w:pPr>
      <w:r>
        <w:rPr>
          <w:rFonts w:hint="eastAsia" w:cs="仿宋"/>
          <w:bCs/>
          <w:color w:val="000000"/>
          <w:highlight w:val="none"/>
        </w:rPr>
        <w:t>四、评标程序及内容</w:t>
      </w:r>
    </w:p>
    <w:p w14:paraId="7B3D5F1E">
      <w:pPr>
        <w:shd w:val="clear"/>
        <w:spacing w:line="360" w:lineRule="auto"/>
        <w:ind w:firstLine="480" w:firstLineChars="200"/>
        <w:rPr>
          <w:rFonts w:hint="eastAsia" w:cs="仿宋"/>
          <w:bCs/>
          <w:color w:val="FF0000"/>
          <w:highlight w:val="none"/>
        </w:rPr>
      </w:pPr>
      <w:r>
        <w:rPr>
          <w:rFonts w:hint="eastAsia" w:cs="仿宋"/>
          <w:bCs/>
          <w:color w:val="000000"/>
          <w:highlight w:val="none"/>
        </w:rPr>
        <w:t>1、评标的方法：</w:t>
      </w:r>
      <w:r>
        <w:rPr>
          <w:rFonts w:hint="eastAsia" w:cs="仿宋"/>
          <w:bCs/>
          <w:highlight w:val="none"/>
        </w:rPr>
        <w:t>由资格审查、</w:t>
      </w:r>
      <w:r>
        <w:rPr>
          <w:rFonts w:hint="eastAsia" w:cs="仿宋"/>
          <w:bCs/>
          <w:color w:val="000000"/>
          <w:highlight w:val="none"/>
        </w:rPr>
        <w:t>综合</w:t>
      </w:r>
      <w:r>
        <w:rPr>
          <w:rFonts w:hint="eastAsia" w:cs="仿宋"/>
          <w:bCs/>
          <w:highlight w:val="none"/>
        </w:rPr>
        <w:t>评标两部分。</w:t>
      </w:r>
    </w:p>
    <w:p w14:paraId="0374B138">
      <w:pPr>
        <w:shd w:val="clear"/>
        <w:spacing w:line="360" w:lineRule="auto"/>
        <w:ind w:firstLine="480" w:firstLineChars="200"/>
        <w:rPr>
          <w:rFonts w:cs="仿宋"/>
          <w:bCs/>
          <w:color w:val="000000"/>
          <w:highlight w:val="none"/>
        </w:rPr>
      </w:pPr>
      <w:r>
        <w:rPr>
          <w:rFonts w:hint="eastAsia" w:cs="仿宋"/>
          <w:bCs/>
          <w:highlight w:val="none"/>
        </w:rPr>
        <w:t>2、资格审查</w:t>
      </w:r>
      <w:r>
        <w:rPr>
          <w:rFonts w:hint="eastAsia" w:cs="仿宋"/>
          <w:bCs/>
          <w:color w:val="000000"/>
          <w:highlight w:val="none"/>
        </w:rPr>
        <w:t>：按对投标人的资格要求、缴纳投标保证金等情况进行评标。详见《资格审查表》。</w:t>
      </w:r>
    </w:p>
    <w:p w14:paraId="3EF96D81">
      <w:pPr>
        <w:shd w:val="clear"/>
        <w:spacing w:line="360" w:lineRule="auto"/>
        <w:ind w:firstLine="480" w:firstLineChars="200"/>
        <w:rPr>
          <w:rFonts w:cs="仿宋"/>
          <w:bCs/>
          <w:color w:val="000000"/>
          <w:highlight w:val="none"/>
        </w:rPr>
      </w:pPr>
      <w:r>
        <w:rPr>
          <w:rFonts w:hint="eastAsia" w:cs="仿宋"/>
          <w:bCs/>
          <w:color w:val="000000"/>
          <w:highlight w:val="none"/>
        </w:rPr>
        <w:t>3、综合评标：通过资格审查后，根据投标人的商务、技术和价格等进行综合评标。</w:t>
      </w:r>
    </w:p>
    <w:p w14:paraId="2A614B8C">
      <w:pPr>
        <w:shd w:val="clear"/>
        <w:spacing w:line="360" w:lineRule="auto"/>
        <w:rPr>
          <w:rFonts w:cs="仿宋"/>
          <w:bCs/>
          <w:color w:val="000000"/>
          <w:highlight w:val="none"/>
        </w:rPr>
      </w:pPr>
      <w:r>
        <w:rPr>
          <w:rFonts w:hint="eastAsia" w:cs="仿宋"/>
          <w:bCs/>
          <w:color w:val="000000"/>
          <w:highlight w:val="none"/>
        </w:rPr>
        <w:t>五、评标报告</w:t>
      </w:r>
    </w:p>
    <w:p w14:paraId="6C2368F1">
      <w:pPr>
        <w:shd w:val="clear"/>
        <w:spacing w:line="360" w:lineRule="auto"/>
        <w:ind w:firstLine="480" w:firstLineChars="200"/>
        <w:rPr>
          <w:rFonts w:cs="仿宋"/>
          <w:bCs/>
          <w:color w:val="000000"/>
          <w:highlight w:val="none"/>
        </w:rPr>
      </w:pPr>
      <w:r>
        <w:rPr>
          <w:rFonts w:hint="eastAsia" w:cs="仿宋"/>
          <w:bCs/>
          <w:color w:val="000000"/>
          <w:highlight w:val="none"/>
        </w:rPr>
        <w:t>1、评标委员会根据评标情况和结果，向招标人提交评标报告。评标报告由评标委员会起草，评标委员会全体成员应在评标报告上签字确认，评标专家如有保留意见可以在评标报告中阐明。</w:t>
      </w:r>
    </w:p>
    <w:p w14:paraId="638D8036">
      <w:pPr>
        <w:shd w:val="clear"/>
        <w:spacing w:line="360" w:lineRule="auto"/>
        <w:ind w:firstLine="480" w:firstLineChars="200"/>
        <w:rPr>
          <w:rFonts w:cs="仿宋"/>
          <w:bCs/>
          <w:color w:val="000000"/>
          <w:highlight w:val="none"/>
        </w:rPr>
      </w:pPr>
      <w:r>
        <w:rPr>
          <w:rFonts w:hint="eastAsia" w:cs="仿宋"/>
          <w:bCs/>
          <w:color w:val="000000"/>
          <w:highlight w:val="none"/>
        </w:rPr>
        <w:t>2、评标委员会在评标报告中根据得分排序推荐前</w:t>
      </w:r>
      <w:r>
        <w:rPr>
          <w:rFonts w:hint="eastAsia" w:cs="仿宋"/>
          <w:bCs/>
          <w:highlight w:val="none"/>
        </w:rPr>
        <w:t>一至二名</w:t>
      </w:r>
      <w:r>
        <w:rPr>
          <w:rFonts w:hint="eastAsia" w:cs="仿宋"/>
          <w:bCs/>
          <w:color w:val="000000"/>
          <w:highlight w:val="none"/>
        </w:rPr>
        <w:t>为中标候选人。</w:t>
      </w:r>
    </w:p>
    <w:p w14:paraId="089EA091">
      <w:pPr>
        <w:shd w:val="clear"/>
        <w:jc w:val="center"/>
        <w:rPr>
          <w:rFonts w:hint="eastAsia"/>
          <w:b/>
          <w:sz w:val="30"/>
          <w:szCs w:val="30"/>
          <w:highlight w:val="none"/>
        </w:rPr>
      </w:pPr>
    </w:p>
    <w:p w14:paraId="00AB13A2">
      <w:pPr>
        <w:shd w:val="clear"/>
        <w:jc w:val="center"/>
        <w:rPr>
          <w:b/>
          <w:sz w:val="30"/>
          <w:szCs w:val="30"/>
          <w:highlight w:val="none"/>
        </w:rPr>
      </w:pPr>
      <w:r>
        <w:rPr>
          <w:rFonts w:hint="eastAsia"/>
          <w:b/>
          <w:sz w:val="30"/>
          <w:szCs w:val="30"/>
          <w:highlight w:val="none"/>
        </w:rPr>
        <w:t>1.资格审查表</w:t>
      </w:r>
    </w:p>
    <w:p w14:paraId="733F44BC">
      <w:pPr>
        <w:shd w:val="clear"/>
        <w:ind w:left="-808" w:leftChars="-337" w:firstLine="720" w:firstLineChars="300"/>
        <w:rPr>
          <w:szCs w:val="21"/>
          <w:highlight w:val="none"/>
        </w:rPr>
      </w:pPr>
      <w:r>
        <w:rPr>
          <w:rFonts w:hint="eastAsia"/>
          <w:szCs w:val="21"/>
          <w:highlight w:val="none"/>
        </w:rPr>
        <w:t>招标编号：                 审查日期： 年 月 日</w:t>
      </w:r>
    </w:p>
    <w:tbl>
      <w:tblPr>
        <w:tblStyle w:val="46"/>
        <w:tblW w:w="0" w:type="auto"/>
        <w:tblInd w:w="-601" w:type="dxa"/>
        <w:tblLayout w:type="autofit"/>
        <w:tblCellMar>
          <w:top w:w="0" w:type="dxa"/>
          <w:left w:w="108" w:type="dxa"/>
          <w:bottom w:w="0" w:type="dxa"/>
          <w:right w:w="108" w:type="dxa"/>
        </w:tblCellMar>
      </w:tblPr>
      <w:tblGrid>
        <w:gridCol w:w="567"/>
        <w:gridCol w:w="1276"/>
        <w:gridCol w:w="1701"/>
        <w:gridCol w:w="993"/>
        <w:gridCol w:w="456"/>
        <w:gridCol w:w="849"/>
        <w:gridCol w:w="1701"/>
        <w:gridCol w:w="2268"/>
      </w:tblGrid>
      <w:tr w14:paraId="47D29B9B">
        <w:tblPrEx>
          <w:tblCellMar>
            <w:top w:w="0" w:type="dxa"/>
            <w:left w:w="108" w:type="dxa"/>
            <w:bottom w:w="0" w:type="dxa"/>
            <w:right w:w="108" w:type="dxa"/>
          </w:tblCellMar>
        </w:tblPrEx>
        <w:trPr>
          <w:trHeight w:val="300" w:hRule="atLeast"/>
        </w:trPr>
        <w:tc>
          <w:tcPr>
            <w:tcW w:w="1843" w:type="dxa"/>
            <w:gridSpan w:val="2"/>
            <w:tcBorders>
              <w:top w:val="single" w:color="auto" w:sz="8" w:space="0"/>
              <w:left w:val="single" w:color="auto" w:sz="8" w:space="0"/>
              <w:bottom w:val="single" w:color="auto" w:sz="8" w:space="0"/>
              <w:right w:val="single" w:color="000000" w:sz="8" w:space="0"/>
            </w:tcBorders>
            <w:noWrap/>
            <w:vAlign w:val="center"/>
          </w:tcPr>
          <w:p w14:paraId="55B503F7">
            <w:pPr>
              <w:shd w:val="clear"/>
              <w:jc w:val="center"/>
              <w:rPr>
                <w:szCs w:val="21"/>
                <w:highlight w:val="none"/>
              </w:rPr>
            </w:pPr>
            <w:r>
              <w:rPr>
                <w:rFonts w:hint="eastAsia"/>
                <w:szCs w:val="21"/>
                <w:highlight w:val="none"/>
              </w:rPr>
              <w:t>招标名称</w:t>
            </w:r>
          </w:p>
        </w:tc>
        <w:tc>
          <w:tcPr>
            <w:tcW w:w="7938" w:type="dxa"/>
            <w:gridSpan w:val="6"/>
            <w:tcBorders>
              <w:top w:val="single" w:color="auto" w:sz="8" w:space="0"/>
              <w:left w:val="nil"/>
              <w:bottom w:val="single" w:color="auto" w:sz="8" w:space="0"/>
              <w:right w:val="single" w:color="000000" w:sz="8" w:space="0"/>
            </w:tcBorders>
            <w:noWrap/>
            <w:vAlign w:val="center"/>
          </w:tcPr>
          <w:p w14:paraId="355BDDAD">
            <w:pPr>
              <w:shd w:val="clear"/>
              <w:jc w:val="center"/>
              <w:rPr>
                <w:szCs w:val="21"/>
                <w:highlight w:val="none"/>
              </w:rPr>
            </w:pPr>
          </w:p>
        </w:tc>
      </w:tr>
      <w:tr w14:paraId="7B4A0967">
        <w:tblPrEx>
          <w:tblCellMar>
            <w:top w:w="0" w:type="dxa"/>
            <w:left w:w="108" w:type="dxa"/>
            <w:bottom w:w="0" w:type="dxa"/>
            <w:right w:w="108" w:type="dxa"/>
          </w:tblCellMar>
        </w:tblPrEx>
        <w:trPr>
          <w:trHeight w:val="300" w:hRule="atLeast"/>
        </w:trPr>
        <w:tc>
          <w:tcPr>
            <w:tcW w:w="1843" w:type="dxa"/>
            <w:gridSpan w:val="2"/>
            <w:tcBorders>
              <w:top w:val="single" w:color="auto" w:sz="8" w:space="0"/>
              <w:left w:val="single" w:color="auto" w:sz="8" w:space="0"/>
              <w:bottom w:val="single" w:color="auto" w:sz="8" w:space="0"/>
              <w:right w:val="single" w:color="000000" w:sz="8" w:space="0"/>
            </w:tcBorders>
            <w:noWrap/>
            <w:vAlign w:val="center"/>
          </w:tcPr>
          <w:p w14:paraId="1A561B81">
            <w:pPr>
              <w:shd w:val="clear"/>
              <w:jc w:val="center"/>
              <w:rPr>
                <w:szCs w:val="21"/>
                <w:highlight w:val="none"/>
              </w:rPr>
            </w:pPr>
            <w:r>
              <w:rPr>
                <w:rFonts w:hint="eastAsia"/>
                <w:szCs w:val="21"/>
                <w:highlight w:val="none"/>
              </w:rPr>
              <w:t>招标内容</w:t>
            </w:r>
          </w:p>
        </w:tc>
        <w:tc>
          <w:tcPr>
            <w:tcW w:w="7938" w:type="dxa"/>
            <w:gridSpan w:val="6"/>
            <w:tcBorders>
              <w:top w:val="single" w:color="auto" w:sz="8" w:space="0"/>
              <w:left w:val="nil"/>
              <w:bottom w:val="single" w:color="auto" w:sz="8" w:space="0"/>
              <w:right w:val="single" w:color="000000" w:sz="8" w:space="0"/>
            </w:tcBorders>
            <w:noWrap/>
            <w:vAlign w:val="center"/>
          </w:tcPr>
          <w:p w14:paraId="161665EB">
            <w:pPr>
              <w:shd w:val="clear"/>
              <w:jc w:val="center"/>
              <w:rPr>
                <w:szCs w:val="21"/>
                <w:highlight w:val="none"/>
              </w:rPr>
            </w:pPr>
          </w:p>
        </w:tc>
      </w:tr>
      <w:tr w14:paraId="3580603D">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7B060E60">
            <w:pPr>
              <w:shd w:val="clear"/>
              <w:jc w:val="center"/>
              <w:rPr>
                <w:szCs w:val="21"/>
                <w:highlight w:val="none"/>
              </w:rPr>
            </w:pPr>
            <w:r>
              <w:rPr>
                <w:rFonts w:hint="eastAsia"/>
                <w:szCs w:val="21"/>
                <w:highlight w:val="none"/>
              </w:rPr>
              <w:t>序号</w:t>
            </w:r>
          </w:p>
        </w:tc>
        <w:tc>
          <w:tcPr>
            <w:tcW w:w="2977" w:type="dxa"/>
            <w:gridSpan w:val="2"/>
            <w:tcBorders>
              <w:top w:val="single" w:color="auto" w:sz="8" w:space="0"/>
              <w:left w:val="nil"/>
              <w:bottom w:val="single" w:color="auto" w:sz="8" w:space="0"/>
              <w:right w:val="single" w:color="000000" w:sz="8" w:space="0"/>
            </w:tcBorders>
            <w:noWrap/>
            <w:vAlign w:val="center"/>
          </w:tcPr>
          <w:p w14:paraId="27BC6CE0">
            <w:pPr>
              <w:shd w:val="clear"/>
              <w:jc w:val="center"/>
              <w:rPr>
                <w:szCs w:val="21"/>
                <w:highlight w:val="none"/>
              </w:rPr>
            </w:pPr>
            <w:r>
              <w:rPr>
                <w:rFonts w:hint="eastAsia"/>
                <w:szCs w:val="21"/>
                <w:highlight w:val="none"/>
              </w:rPr>
              <w:t>报名单位</w:t>
            </w:r>
          </w:p>
        </w:tc>
        <w:tc>
          <w:tcPr>
            <w:tcW w:w="993" w:type="dxa"/>
            <w:tcBorders>
              <w:top w:val="nil"/>
              <w:left w:val="nil"/>
              <w:bottom w:val="single" w:color="auto" w:sz="8" w:space="0"/>
              <w:right w:val="single" w:color="auto" w:sz="8" w:space="0"/>
            </w:tcBorders>
            <w:noWrap/>
            <w:vAlign w:val="center"/>
          </w:tcPr>
          <w:p w14:paraId="5E399C61">
            <w:pPr>
              <w:shd w:val="clear"/>
              <w:jc w:val="center"/>
              <w:rPr>
                <w:szCs w:val="21"/>
                <w:highlight w:val="none"/>
              </w:rPr>
            </w:pPr>
            <w:r>
              <w:rPr>
                <w:rFonts w:hint="eastAsia"/>
                <w:szCs w:val="21"/>
                <w:highlight w:val="none"/>
              </w:rPr>
              <w:t>注册资金</w:t>
            </w:r>
          </w:p>
        </w:tc>
        <w:tc>
          <w:tcPr>
            <w:tcW w:w="426" w:type="dxa"/>
            <w:tcBorders>
              <w:top w:val="nil"/>
              <w:left w:val="nil"/>
              <w:bottom w:val="single" w:color="auto" w:sz="8" w:space="0"/>
              <w:right w:val="single" w:color="auto" w:sz="8" w:space="0"/>
            </w:tcBorders>
            <w:noWrap w:val="0"/>
            <w:vAlign w:val="center"/>
          </w:tcPr>
          <w:p w14:paraId="09CB611F">
            <w:pPr>
              <w:shd w:val="clear"/>
              <w:jc w:val="center"/>
              <w:rPr>
                <w:szCs w:val="21"/>
                <w:highlight w:val="none"/>
              </w:rPr>
            </w:pPr>
            <w:r>
              <w:rPr>
                <w:rFonts w:hint="eastAsia"/>
                <w:szCs w:val="21"/>
                <w:highlight w:val="none"/>
              </w:rPr>
              <w:t>业绩</w:t>
            </w:r>
          </w:p>
        </w:tc>
        <w:tc>
          <w:tcPr>
            <w:tcW w:w="849" w:type="dxa"/>
            <w:tcBorders>
              <w:top w:val="nil"/>
              <w:left w:val="nil"/>
              <w:bottom w:val="single" w:color="auto" w:sz="8" w:space="0"/>
              <w:right w:val="single" w:color="auto" w:sz="8" w:space="0"/>
            </w:tcBorders>
            <w:noWrap/>
            <w:vAlign w:val="center"/>
          </w:tcPr>
          <w:p w14:paraId="11DC8579">
            <w:pPr>
              <w:shd w:val="clear"/>
              <w:jc w:val="center"/>
              <w:rPr>
                <w:szCs w:val="21"/>
                <w:highlight w:val="none"/>
              </w:rPr>
            </w:pPr>
            <w:r>
              <w:rPr>
                <w:rFonts w:hint="eastAsia"/>
                <w:szCs w:val="21"/>
                <w:highlight w:val="none"/>
              </w:rPr>
              <w:t>联系人</w:t>
            </w:r>
          </w:p>
        </w:tc>
        <w:tc>
          <w:tcPr>
            <w:tcW w:w="1701" w:type="dxa"/>
            <w:tcBorders>
              <w:top w:val="nil"/>
              <w:left w:val="nil"/>
              <w:bottom w:val="single" w:color="auto" w:sz="8" w:space="0"/>
              <w:right w:val="single" w:color="auto" w:sz="8" w:space="0"/>
            </w:tcBorders>
            <w:noWrap/>
            <w:vAlign w:val="center"/>
          </w:tcPr>
          <w:p w14:paraId="228CE235">
            <w:pPr>
              <w:shd w:val="clear"/>
              <w:jc w:val="center"/>
              <w:rPr>
                <w:szCs w:val="21"/>
                <w:highlight w:val="none"/>
              </w:rPr>
            </w:pPr>
            <w:r>
              <w:rPr>
                <w:rFonts w:hint="eastAsia"/>
                <w:szCs w:val="21"/>
                <w:highlight w:val="none"/>
              </w:rPr>
              <w:t>联系电话</w:t>
            </w:r>
          </w:p>
        </w:tc>
        <w:tc>
          <w:tcPr>
            <w:tcW w:w="2268" w:type="dxa"/>
            <w:tcBorders>
              <w:top w:val="nil"/>
              <w:left w:val="nil"/>
              <w:bottom w:val="single" w:color="auto" w:sz="8" w:space="0"/>
              <w:right w:val="single" w:color="auto" w:sz="8" w:space="0"/>
            </w:tcBorders>
            <w:noWrap/>
            <w:vAlign w:val="center"/>
          </w:tcPr>
          <w:p w14:paraId="3FBFBA92">
            <w:pPr>
              <w:shd w:val="clear"/>
              <w:jc w:val="center"/>
              <w:rPr>
                <w:szCs w:val="21"/>
                <w:highlight w:val="none"/>
              </w:rPr>
            </w:pPr>
            <w:r>
              <w:rPr>
                <w:rFonts w:hint="eastAsia"/>
                <w:szCs w:val="21"/>
                <w:highlight w:val="none"/>
              </w:rPr>
              <w:t>包号</w:t>
            </w:r>
          </w:p>
        </w:tc>
      </w:tr>
      <w:tr w14:paraId="3700EE46">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2D55D129">
            <w:pPr>
              <w:shd w:val="clear"/>
              <w:jc w:val="center"/>
              <w:rPr>
                <w:color w:val="000000"/>
                <w:szCs w:val="21"/>
                <w:highlight w:val="none"/>
              </w:rPr>
            </w:pPr>
            <w:r>
              <w:rPr>
                <w:rFonts w:hint="eastAsia"/>
                <w:color w:val="000000"/>
                <w:szCs w:val="21"/>
                <w:highlight w:val="none"/>
              </w:rPr>
              <w:t>1</w:t>
            </w:r>
          </w:p>
        </w:tc>
        <w:tc>
          <w:tcPr>
            <w:tcW w:w="2977" w:type="dxa"/>
            <w:gridSpan w:val="2"/>
            <w:tcBorders>
              <w:top w:val="single" w:color="auto" w:sz="8" w:space="0"/>
              <w:left w:val="nil"/>
              <w:bottom w:val="single" w:color="auto" w:sz="8" w:space="0"/>
              <w:right w:val="single" w:color="000000" w:sz="8" w:space="0"/>
            </w:tcBorders>
            <w:noWrap/>
            <w:vAlign w:val="center"/>
          </w:tcPr>
          <w:p w14:paraId="729A3404">
            <w:pPr>
              <w:shd w:val="clear"/>
              <w:jc w:val="center"/>
              <w:rPr>
                <w:color w:val="000000"/>
                <w:szCs w:val="21"/>
                <w:highlight w:val="none"/>
              </w:rPr>
            </w:pPr>
            <w:r>
              <w:rPr>
                <w:rFonts w:hint="eastAsia"/>
                <w:color w:val="000000"/>
                <w:szCs w:val="21"/>
                <w:highlight w:val="none"/>
              </w:rPr>
              <w:t>　</w:t>
            </w:r>
          </w:p>
        </w:tc>
        <w:tc>
          <w:tcPr>
            <w:tcW w:w="993" w:type="dxa"/>
            <w:tcBorders>
              <w:top w:val="nil"/>
              <w:left w:val="nil"/>
              <w:bottom w:val="single" w:color="auto" w:sz="8" w:space="0"/>
              <w:right w:val="single" w:color="auto" w:sz="8" w:space="0"/>
            </w:tcBorders>
            <w:noWrap/>
            <w:vAlign w:val="center"/>
          </w:tcPr>
          <w:p w14:paraId="433E758E">
            <w:pPr>
              <w:shd w:val="clear"/>
              <w:jc w:val="center"/>
              <w:rPr>
                <w:color w:val="000000"/>
                <w:szCs w:val="21"/>
                <w:highlight w:val="none"/>
              </w:rPr>
            </w:pPr>
            <w:r>
              <w:rPr>
                <w:rFonts w:hint="eastAsia"/>
                <w:color w:val="000000"/>
                <w:szCs w:val="21"/>
                <w:highlight w:val="none"/>
              </w:rPr>
              <w:t>　</w:t>
            </w:r>
          </w:p>
        </w:tc>
        <w:tc>
          <w:tcPr>
            <w:tcW w:w="426" w:type="dxa"/>
            <w:tcBorders>
              <w:top w:val="nil"/>
              <w:left w:val="nil"/>
              <w:bottom w:val="single" w:color="auto" w:sz="8" w:space="0"/>
              <w:right w:val="single" w:color="auto" w:sz="8" w:space="0"/>
            </w:tcBorders>
            <w:noWrap/>
            <w:vAlign w:val="center"/>
          </w:tcPr>
          <w:p w14:paraId="04A4260E">
            <w:pPr>
              <w:shd w:val="clear"/>
              <w:jc w:val="center"/>
              <w:rPr>
                <w:color w:val="000000"/>
                <w:szCs w:val="21"/>
                <w:highlight w:val="none"/>
              </w:rPr>
            </w:pPr>
            <w:r>
              <w:rPr>
                <w:rFonts w:hint="eastAsia"/>
                <w:color w:val="000000"/>
                <w:szCs w:val="21"/>
                <w:highlight w:val="none"/>
              </w:rPr>
              <w:t>　</w:t>
            </w:r>
          </w:p>
        </w:tc>
        <w:tc>
          <w:tcPr>
            <w:tcW w:w="849" w:type="dxa"/>
            <w:tcBorders>
              <w:top w:val="nil"/>
              <w:left w:val="nil"/>
              <w:bottom w:val="single" w:color="auto" w:sz="8" w:space="0"/>
              <w:right w:val="single" w:color="auto" w:sz="8" w:space="0"/>
            </w:tcBorders>
            <w:noWrap/>
            <w:vAlign w:val="center"/>
          </w:tcPr>
          <w:p w14:paraId="699D61F8">
            <w:pPr>
              <w:shd w:val="clear"/>
              <w:jc w:val="center"/>
              <w:rPr>
                <w:color w:val="000000"/>
                <w:szCs w:val="21"/>
                <w:highlight w:val="none"/>
              </w:rPr>
            </w:pPr>
            <w:r>
              <w:rPr>
                <w:rFonts w:hint="eastAsia"/>
                <w:color w:val="000000"/>
                <w:szCs w:val="21"/>
                <w:highlight w:val="none"/>
              </w:rPr>
              <w:t>　</w:t>
            </w:r>
          </w:p>
        </w:tc>
        <w:tc>
          <w:tcPr>
            <w:tcW w:w="1701" w:type="dxa"/>
            <w:tcBorders>
              <w:top w:val="nil"/>
              <w:left w:val="nil"/>
              <w:bottom w:val="single" w:color="auto" w:sz="8" w:space="0"/>
              <w:right w:val="single" w:color="auto" w:sz="8" w:space="0"/>
            </w:tcBorders>
            <w:noWrap/>
            <w:vAlign w:val="center"/>
          </w:tcPr>
          <w:p w14:paraId="4BA5C19A">
            <w:pPr>
              <w:shd w:val="clear"/>
              <w:jc w:val="center"/>
              <w:rPr>
                <w:color w:val="000000"/>
                <w:szCs w:val="21"/>
                <w:highlight w:val="none"/>
              </w:rPr>
            </w:pPr>
            <w:r>
              <w:rPr>
                <w:rFonts w:hint="eastAsia"/>
                <w:color w:val="000000"/>
                <w:szCs w:val="21"/>
                <w:highlight w:val="none"/>
              </w:rPr>
              <w:t>　</w:t>
            </w:r>
          </w:p>
        </w:tc>
        <w:tc>
          <w:tcPr>
            <w:tcW w:w="2268" w:type="dxa"/>
            <w:tcBorders>
              <w:top w:val="nil"/>
              <w:left w:val="nil"/>
              <w:bottom w:val="single" w:color="auto" w:sz="8" w:space="0"/>
              <w:right w:val="single" w:color="auto" w:sz="8" w:space="0"/>
            </w:tcBorders>
            <w:noWrap/>
            <w:vAlign w:val="center"/>
          </w:tcPr>
          <w:p w14:paraId="34DFAE05">
            <w:pPr>
              <w:shd w:val="clear"/>
              <w:jc w:val="center"/>
              <w:rPr>
                <w:color w:val="000000"/>
                <w:szCs w:val="21"/>
                <w:highlight w:val="none"/>
              </w:rPr>
            </w:pPr>
            <w:r>
              <w:rPr>
                <w:rFonts w:hint="eastAsia"/>
                <w:color w:val="000000"/>
                <w:szCs w:val="21"/>
                <w:highlight w:val="none"/>
              </w:rPr>
              <w:t>　</w:t>
            </w:r>
          </w:p>
        </w:tc>
      </w:tr>
      <w:tr w14:paraId="13ABFB56">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71D7FD38">
            <w:pPr>
              <w:shd w:val="clear"/>
              <w:jc w:val="center"/>
              <w:rPr>
                <w:color w:val="000000"/>
                <w:szCs w:val="21"/>
                <w:highlight w:val="none"/>
              </w:rPr>
            </w:pPr>
            <w:r>
              <w:rPr>
                <w:rFonts w:hint="eastAsia"/>
                <w:color w:val="000000"/>
                <w:szCs w:val="21"/>
                <w:highlight w:val="none"/>
              </w:rPr>
              <w:t>2</w:t>
            </w:r>
          </w:p>
        </w:tc>
        <w:tc>
          <w:tcPr>
            <w:tcW w:w="2977" w:type="dxa"/>
            <w:gridSpan w:val="2"/>
            <w:tcBorders>
              <w:top w:val="single" w:color="auto" w:sz="8" w:space="0"/>
              <w:left w:val="nil"/>
              <w:bottom w:val="single" w:color="auto" w:sz="8" w:space="0"/>
              <w:right w:val="single" w:color="000000" w:sz="8" w:space="0"/>
            </w:tcBorders>
            <w:noWrap/>
            <w:vAlign w:val="center"/>
          </w:tcPr>
          <w:p w14:paraId="38422A66">
            <w:pPr>
              <w:shd w:val="clear"/>
              <w:jc w:val="center"/>
              <w:rPr>
                <w:color w:val="000000"/>
                <w:szCs w:val="21"/>
                <w:highlight w:val="none"/>
              </w:rPr>
            </w:pPr>
            <w:r>
              <w:rPr>
                <w:rFonts w:hint="eastAsia"/>
                <w:color w:val="000000"/>
                <w:szCs w:val="21"/>
                <w:highlight w:val="none"/>
              </w:rPr>
              <w:t>　</w:t>
            </w:r>
          </w:p>
        </w:tc>
        <w:tc>
          <w:tcPr>
            <w:tcW w:w="993" w:type="dxa"/>
            <w:tcBorders>
              <w:top w:val="nil"/>
              <w:left w:val="nil"/>
              <w:bottom w:val="single" w:color="auto" w:sz="8" w:space="0"/>
              <w:right w:val="single" w:color="auto" w:sz="8" w:space="0"/>
            </w:tcBorders>
            <w:noWrap/>
            <w:vAlign w:val="center"/>
          </w:tcPr>
          <w:p w14:paraId="3929699D">
            <w:pPr>
              <w:shd w:val="clear"/>
              <w:jc w:val="center"/>
              <w:rPr>
                <w:color w:val="000000"/>
                <w:szCs w:val="21"/>
                <w:highlight w:val="none"/>
              </w:rPr>
            </w:pPr>
            <w:r>
              <w:rPr>
                <w:rFonts w:hint="eastAsia"/>
                <w:color w:val="000000"/>
                <w:szCs w:val="21"/>
                <w:highlight w:val="none"/>
              </w:rPr>
              <w:t>　</w:t>
            </w:r>
          </w:p>
        </w:tc>
        <w:tc>
          <w:tcPr>
            <w:tcW w:w="426" w:type="dxa"/>
            <w:tcBorders>
              <w:top w:val="nil"/>
              <w:left w:val="nil"/>
              <w:bottom w:val="single" w:color="auto" w:sz="8" w:space="0"/>
              <w:right w:val="single" w:color="auto" w:sz="8" w:space="0"/>
            </w:tcBorders>
            <w:noWrap/>
            <w:vAlign w:val="center"/>
          </w:tcPr>
          <w:p w14:paraId="2C73C007">
            <w:pPr>
              <w:shd w:val="clear"/>
              <w:jc w:val="center"/>
              <w:rPr>
                <w:color w:val="000000"/>
                <w:szCs w:val="21"/>
                <w:highlight w:val="none"/>
              </w:rPr>
            </w:pPr>
            <w:r>
              <w:rPr>
                <w:rFonts w:hint="eastAsia"/>
                <w:color w:val="000000"/>
                <w:szCs w:val="21"/>
                <w:highlight w:val="none"/>
              </w:rPr>
              <w:t>　</w:t>
            </w:r>
          </w:p>
        </w:tc>
        <w:tc>
          <w:tcPr>
            <w:tcW w:w="849" w:type="dxa"/>
            <w:tcBorders>
              <w:top w:val="nil"/>
              <w:left w:val="nil"/>
              <w:bottom w:val="single" w:color="auto" w:sz="8" w:space="0"/>
              <w:right w:val="single" w:color="auto" w:sz="8" w:space="0"/>
            </w:tcBorders>
            <w:noWrap/>
            <w:vAlign w:val="center"/>
          </w:tcPr>
          <w:p w14:paraId="6E8C8ED9">
            <w:pPr>
              <w:shd w:val="clear"/>
              <w:jc w:val="center"/>
              <w:rPr>
                <w:color w:val="000000"/>
                <w:szCs w:val="21"/>
                <w:highlight w:val="none"/>
              </w:rPr>
            </w:pPr>
            <w:r>
              <w:rPr>
                <w:rFonts w:hint="eastAsia"/>
                <w:color w:val="000000"/>
                <w:szCs w:val="21"/>
                <w:highlight w:val="none"/>
              </w:rPr>
              <w:t>　</w:t>
            </w:r>
          </w:p>
        </w:tc>
        <w:tc>
          <w:tcPr>
            <w:tcW w:w="1701" w:type="dxa"/>
            <w:tcBorders>
              <w:top w:val="nil"/>
              <w:left w:val="nil"/>
              <w:bottom w:val="single" w:color="auto" w:sz="8" w:space="0"/>
              <w:right w:val="single" w:color="auto" w:sz="8" w:space="0"/>
            </w:tcBorders>
            <w:noWrap/>
            <w:vAlign w:val="center"/>
          </w:tcPr>
          <w:p w14:paraId="1D9599EA">
            <w:pPr>
              <w:shd w:val="clear"/>
              <w:jc w:val="center"/>
              <w:rPr>
                <w:color w:val="000000"/>
                <w:szCs w:val="21"/>
                <w:highlight w:val="none"/>
              </w:rPr>
            </w:pPr>
            <w:r>
              <w:rPr>
                <w:rFonts w:hint="eastAsia"/>
                <w:color w:val="000000"/>
                <w:szCs w:val="21"/>
                <w:highlight w:val="none"/>
              </w:rPr>
              <w:t>　</w:t>
            </w:r>
          </w:p>
        </w:tc>
        <w:tc>
          <w:tcPr>
            <w:tcW w:w="2268" w:type="dxa"/>
            <w:tcBorders>
              <w:top w:val="nil"/>
              <w:left w:val="nil"/>
              <w:bottom w:val="single" w:color="auto" w:sz="8" w:space="0"/>
              <w:right w:val="single" w:color="auto" w:sz="8" w:space="0"/>
            </w:tcBorders>
            <w:noWrap/>
            <w:vAlign w:val="center"/>
          </w:tcPr>
          <w:p w14:paraId="4D419FF7">
            <w:pPr>
              <w:shd w:val="clear"/>
              <w:jc w:val="center"/>
              <w:rPr>
                <w:color w:val="000000"/>
                <w:szCs w:val="21"/>
                <w:highlight w:val="none"/>
              </w:rPr>
            </w:pPr>
            <w:r>
              <w:rPr>
                <w:rFonts w:hint="eastAsia"/>
                <w:color w:val="000000"/>
                <w:szCs w:val="21"/>
                <w:highlight w:val="none"/>
              </w:rPr>
              <w:t>　</w:t>
            </w:r>
          </w:p>
        </w:tc>
      </w:tr>
      <w:tr w14:paraId="37A5CC7F">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444B2586">
            <w:pPr>
              <w:shd w:val="clear"/>
              <w:jc w:val="center"/>
              <w:rPr>
                <w:color w:val="000000"/>
                <w:szCs w:val="21"/>
                <w:highlight w:val="none"/>
              </w:rPr>
            </w:pPr>
            <w:r>
              <w:rPr>
                <w:rFonts w:hint="eastAsia"/>
                <w:color w:val="000000"/>
                <w:szCs w:val="21"/>
                <w:highlight w:val="none"/>
              </w:rPr>
              <w:t>3</w:t>
            </w:r>
          </w:p>
        </w:tc>
        <w:tc>
          <w:tcPr>
            <w:tcW w:w="2977" w:type="dxa"/>
            <w:gridSpan w:val="2"/>
            <w:tcBorders>
              <w:top w:val="single" w:color="auto" w:sz="8" w:space="0"/>
              <w:left w:val="nil"/>
              <w:bottom w:val="single" w:color="auto" w:sz="8" w:space="0"/>
              <w:right w:val="single" w:color="000000" w:sz="8" w:space="0"/>
            </w:tcBorders>
            <w:noWrap/>
            <w:vAlign w:val="center"/>
          </w:tcPr>
          <w:p w14:paraId="07D189C3">
            <w:pPr>
              <w:shd w:val="clear"/>
              <w:jc w:val="center"/>
              <w:rPr>
                <w:color w:val="000000"/>
                <w:szCs w:val="21"/>
                <w:highlight w:val="none"/>
              </w:rPr>
            </w:pPr>
            <w:r>
              <w:rPr>
                <w:rFonts w:hint="eastAsia"/>
                <w:color w:val="000000"/>
                <w:szCs w:val="21"/>
                <w:highlight w:val="none"/>
              </w:rPr>
              <w:t>　</w:t>
            </w:r>
          </w:p>
        </w:tc>
        <w:tc>
          <w:tcPr>
            <w:tcW w:w="993" w:type="dxa"/>
            <w:tcBorders>
              <w:top w:val="nil"/>
              <w:left w:val="nil"/>
              <w:bottom w:val="single" w:color="auto" w:sz="8" w:space="0"/>
              <w:right w:val="single" w:color="auto" w:sz="8" w:space="0"/>
            </w:tcBorders>
            <w:noWrap/>
            <w:vAlign w:val="center"/>
          </w:tcPr>
          <w:p w14:paraId="6AA9031A">
            <w:pPr>
              <w:shd w:val="clear"/>
              <w:jc w:val="center"/>
              <w:rPr>
                <w:color w:val="000000"/>
                <w:szCs w:val="21"/>
                <w:highlight w:val="none"/>
              </w:rPr>
            </w:pPr>
            <w:r>
              <w:rPr>
                <w:rFonts w:hint="eastAsia"/>
                <w:color w:val="000000"/>
                <w:szCs w:val="21"/>
                <w:highlight w:val="none"/>
              </w:rPr>
              <w:t>　</w:t>
            </w:r>
          </w:p>
        </w:tc>
        <w:tc>
          <w:tcPr>
            <w:tcW w:w="426" w:type="dxa"/>
            <w:tcBorders>
              <w:top w:val="nil"/>
              <w:left w:val="nil"/>
              <w:bottom w:val="single" w:color="auto" w:sz="8" w:space="0"/>
              <w:right w:val="single" w:color="auto" w:sz="8" w:space="0"/>
            </w:tcBorders>
            <w:noWrap/>
            <w:vAlign w:val="center"/>
          </w:tcPr>
          <w:p w14:paraId="110BCBF9">
            <w:pPr>
              <w:shd w:val="clear"/>
              <w:jc w:val="center"/>
              <w:rPr>
                <w:color w:val="000000"/>
                <w:szCs w:val="21"/>
                <w:highlight w:val="none"/>
              </w:rPr>
            </w:pPr>
            <w:r>
              <w:rPr>
                <w:rFonts w:hint="eastAsia"/>
                <w:color w:val="000000"/>
                <w:szCs w:val="21"/>
                <w:highlight w:val="none"/>
              </w:rPr>
              <w:t>　</w:t>
            </w:r>
          </w:p>
        </w:tc>
        <w:tc>
          <w:tcPr>
            <w:tcW w:w="849" w:type="dxa"/>
            <w:tcBorders>
              <w:top w:val="nil"/>
              <w:left w:val="nil"/>
              <w:bottom w:val="single" w:color="auto" w:sz="8" w:space="0"/>
              <w:right w:val="single" w:color="auto" w:sz="8" w:space="0"/>
            </w:tcBorders>
            <w:noWrap/>
            <w:vAlign w:val="center"/>
          </w:tcPr>
          <w:p w14:paraId="2A4FB3BE">
            <w:pPr>
              <w:shd w:val="clear"/>
              <w:jc w:val="center"/>
              <w:rPr>
                <w:color w:val="000000"/>
                <w:szCs w:val="21"/>
                <w:highlight w:val="none"/>
              </w:rPr>
            </w:pPr>
            <w:r>
              <w:rPr>
                <w:rFonts w:hint="eastAsia"/>
                <w:color w:val="000000"/>
                <w:szCs w:val="21"/>
                <w:highlight w:val="none"/>
              </w:rPr>
              <w:t>　</w:t>
            </w:r>
          </w:p>
        </w:tc>
        <w:tc>
          <w:tcPr>
            <w:tcW w:w="1701" w:type="dxa"/>
            <w:tcBorders>
              <w:top w:val="nil"/>
              <w:left w:val="nil"/>
              <w:bottom w:val="single" w:color="auto" w:sz="8" w:space="0"/>
              <w:right w:val="single" w:color="auto" w:sz="8" w:space="0"/>
            </w:tcBorders>
            <w:noWrap/>
            <w:vAlign w:val="center"/>
          </w:tcPr>
          <w:p w14:paraId="1A438CB9">
            <w:pPr>
              <w:shd w:val="clear"/>
              <w:jc w:val="center"/>
              <w:rPr>
                <w:color w:val="000000"/>
                <w:szCs w:val="21"/>
                <w:highlight w:val="none"/>
              </w:rPr>
            </w:pPr>
            <w:r>
              <w:rPr>
                <w:rFonts w:hint="eastAsia"/>
                <w:color w:val="000000"/>
                <w:szCs w:val="21"/>
                <w:highlight w:val="none"/>
              </w:rPr>
              <w:t>　</w:t>
            </w:r>
          </w:p>
        </w:tc>
        <w:tc>
          <w:tcPr>
            <w:tcW w:w="2268" w:type="dxa"/>
            <w:tcBorders>
              <w:top w:val="nil"/>
              <w:left w:val="nil"/>
              <w:bottom w:val="single" w:color="auto" w:sz="8" w:space="0"/>
              <w:right w:val="single" w:color="auto" w:sz="8" w:space="0"/>
            </w:tcBorders>
            <w:noWrap/>
            <w:vAlign w:val="center"/>
          </w:tcPr>
          <w:p w14:paraId="6FB9A95A">
            <w:pPr>
              <w:shd w:val="clear"/>
              <w:jc w:val="center"/>
              <w:rPr>
                <w:color w:val="000000"/>
                <w:szCs w:val="21"/>
                <w:highlight w:val="none"/>
              </w:rPr>
            </w:pPr>
            <w:r>
              <w:rPr>
                <w:rFonts w:hint="eastAsia"/>
                <w:color w:val="000000"/>
                <w:szCs w:val="21"/>
                <w:highlight w:val="none"/>
              </w:rPr>
              <w:t>　</w:t>
            </w:r>
          </w:p>
        </w:tc>
      </w:tr>
      <w:tr w14:paraId="40B4A1CD">
        <w:tblPrEx>
          <w:tblCellMar>
            <w:top w:w="0" w:type="dxa"/>
            <w:left w:w="108" w:type="dxa"/>
            <w:bottom w:w="0" w:type="dxa"/>
            <w:right w:w="108" w:type="dxa"/>
          </w:tblCellMar>
        </w:tblPrEx>
        <w:trPr>
          <w:trHeight w:val="300" w:hRule="atLeast"/>
        </w:trPr>
        <w:tc>
          <w:tcPr>
            <w:tcW w:w="567" w:type="dxa"/>
            <w:tcBorders>
              <w:top w:val="nil"/>
              <w:left w:val="single" w:color="auto" w:sz="8" w:space="0"/>
              <w:bottom w:val="single" w:color="auto" w:sz="8" w:space="0"/>
              <w:right w:val="single" w:color="auto" w:sz="8" w:space="0"/>
            </w:tcBorders>
            <w:noWrap/>
            <w:vAlign w:val="center"/>
          </w:tcPr>
          <w:p w14:paraId="2C992BAC">
            <w:pPr>
              <w:shd w:val="clear"/>
              <w:jc w:val="center"/>
              <w:rPr>
                <w:color w:val="000000"/>
                <w:szCs w:val="21"/>
                <w:highlight w:val="none"/>
              </w:rPr>
            </w:pPr>
            <w:r>
              <w:rPr>
                <w:rFonts w:hint="eastAsia"/>
                <w:color w:val="000000"/>
                <w:szCs w:val="21"/>
                <w:highlight w:val="none"/>
              </w:rPr>
              <w:t>4</w:t>
            </w:r>
          </w:p>
        </w:tc>
        <w:tc>
          <w:tcPr>
            <w:tcW w:w="2977" w:type="dxa"/>
            <w:gridSpan w:val="2"/>
            <w:tcBorders>
              <w:top w:val="single" w:color="auto" w:sz="8" w:space="0"/>
              <w:left w:val="nil"/>
              <w:bottom w:val="single" w:color="auto" w:sz="8" w:space="0"/>
              <w:right w:val="single" w:color="000000" w:sz="8" w:space="0"/>
            </w:tcBorders>
            <w:noWrap/>
            <w:vAlign w:val="center"/>
          </w:tcPr>
          <w:p w14:paraId="745A165A">
            <w:pPr>
              <w:shd w:val="clear"/>
              <w:jc w:val="center"/>
              <w:rPr>
                <w:color w:val="000000"/>
                <w:szCs w:val="21"/>
                <w:highlight w:val="none"/>
              </w:rPr>
            </w:pPr>
          </w:p>
        </w:tc>
        <w:tc>
          <w:tcPr>
            <w:tcW w:w="993" w:type="dxa"/>
            <w:tcBorders>
              <w:top w:val="nil"/>
              <w:left w:val="nil"/>
              <w:bottom w:val="single" w:color="auto" w:sz="8" w:space="0"/>
              <w:right w:val="single" w:color="auto" w:sz="8" w:space="0"/>
            </w:tcBorders>
            <w:noWrap/>
            <w:vAlign w:val="center"/>
          </w:tcPr>
          <w:p w14:paraId="41BEE240">
            <w:pPr>
              <w:shd w:val="clear"/>
              <w:jc w:val="center"/>
              <w:rPr>
                <w:color w:val="000000"/>
                <w:szCs w:val="21"/>
                <w:highlight w:val="none"/>
              </w:rPr>
            </w:pPr>
          </w:p>
        </w:tc>
        <w:tc>
          <w:tcPr>
            <w:tcW w:w="426" w:type="dxa"/>
            <w:tcBorders>
              <w:top w:val="nil"/>
              <w:left w:val="nil"/>
              <w:bottom w:val="single" w:color="auto" w:sz="8" w:space="0"/>
              <w:right w:val="single" w:color="auto" w:sz="8" w:space="0"/>
            </w:tcBorders>
            <w:noWrap/>
            <w:vAlign w:val="center"/>
          </w:tcPr>
          <w:p w14:paraId="09592B97">
            <w:pPr>
              <w:shd w:val="clear"/>
              <w:jc w:val="center"/>
              <w:rPr>
                <w:color w:val="000000"/>
                <w:szCs w:val="21"/>
                <w:highlight w:val="none"/>
              </w:rPr>
            </w:pPr>
          </w:p>
        </w:tc>
        <w:tc>
          <w:tcPr>
            <w:tcW w:w="849" w:type="dxa"/>
            <w:tcBorders>
              <w:top w:val="nil"/>
              <w:left w:val="nil"/>
              <w:bottom w:val="single" w:color="auto" w:sz="8" w:space="0"/>
              <w:right w:val="single" w:color="auto" w:sz="8" w:space="0"/>
            </w:tcBorders>
            <w:noWrap/>
            <w:vAlign w:val="center"/>
          </w:tcPr>
          <w:p w14:paraId="30CE3338">
            <w:pPr>
              <w:shd w:val="clear"/>
              <w:jc w:val="center"/>
              <w:rPr>
                <w:color w:val="000000"/>
                <w:szCs w:val="21"/>
                <w:highlight w:val="none"/>
              </w:rPr>
            </w:pPr>
          </w:p>
        </w:tc>
        <w:tc>
          <w:tcPr>
            <w:tcW w:w="1701" w:type="dxa"/>
            <w:tcBorders>
              <w:top w:val="nil"/>
              <w:left w:val="nil"/>
              <w:bottom w:val="single" w:color="auto" w:sz="8" w:space="0"/>
              <w:right w:val="single" w:color="auto" w:sz="8" w:space="0"/>
            </w:tcBorders>
            <w:noWrap/>
            <w:vAlign w:val="center"/>
          </w:tcPr>
          <w:p w14:paraId="23476118">
            <w:pPr>
              <w:shd w:val="clear"/>
              <w:jc w:val="center"/>
              <w:rPr>
                <w:color w:val="000000"/>
                <w:szCs w:val="21"/>
                <w:highlight w:val="none"/>
              </w:rPr>
            </w:pPr>
          </w:p>
        </w:tc>
        <w:tc>
          <w:tcPr>
            <w:tcW w:w="2268" w:type="dxa"/>
            <w:tcBorders>
              <w:top w:val="nil"/>
              <w:left w:val="nil"/>
              <w:bottom w:val="single" w:color="auto" w:sz="8" w:space="0"/>
              <w:right w:val="single" w:color="auto" w:sz="8" w:space="0"/>
            </w:tcBorders>
            <w:noWrap/>
            <w:vAlign w:val="center"/>
          </w:tcPr>
          <w:p w14:paraId="3F06C62C">
            <w:pPr>
              <w:shd w:val="clear"/>
              <w:jc w:val="center"/>
              <w:rPr>
                <w:color w:val="000000"/>
                <w:szCs w:val="21"/>
                <w:highlight w:val="none"/>
              </w:rPr>
            </w:pPr>
          </w:p>
        </w:tc>
      </w:tr>
      <w:tr w14:paraId="63BE6E81">
        <w:tblPrEx>
          <w:tblCellMar>
            <w:top w:w="0" w:type="dxa"/>
            <w:left w:w="108" w:type="dxa"/>
            <w:bottom w:w="0" w:type="dxa"/>
            <w:right w:w="108" w:type="dxa"/>
          </w:tblCellMar>
        </w:tblPrEx>
        <w:trPr>
          <w:trHeight w:val="300" w:hRule="atLeast"/>
        </w:trPr>
        <w:tc>
          <w:tcPr>
            <w:tcW w:w="9781" w:type="dxa"/>
            <w:gridSpan w:val="8"/>
            <w:tcBorders>
              <w:top w:val="single" w:color="auto" w:sz="8" w:space="0"/>
              <w:left w:val="single" w:color="auto" w:sz="8" w:space="0"/>
              <w:bottom w:val="single" w:color="auto" w:sz="8" w:space="0"/>
              <w:right w:val="single" w:color="000000" w:sz="8" w:space="0"/>
            </w:tcBorders>
            <w:noWrap/>
            <w:vAlign w:val="center"/>
          </w:tcPr>
          <w:p w14:paraId="7F13C054">
            <w:pPr>
              <w:shd w:val="clear"/>
              <w:jc w:val="center"/>
              <w:rPr>
                <w:color w:val="000000"/>
                <w:szCs w:val="21"/>
                <w:highlight w:val="none"/>
              </w:rPr>
            </w:pPr>
            <w:r>
              <w:rPr>
                <w:rFonts w:hint="eastAsia"/>
                <w:color w:val="000000"/>
                <w:szCs w:val="21"/>
                <w:highlight w:val="none"/>
              </w:rPr>
              <w:t>资格审查情况说明</w:t>
            </w:r>
          </w:p>
        </w:tc>
      </w:tr>
      <w:tr w14:paraId="02F741C3">
        <w:tblPrEx>
          <w:tblCellMar>
            <w:top w:w="0" w:type="dxa"/>
            <w:left w:w="108" w:type="dxa"/>
            <w:bottom w:w="0" w:type="dxa"/>
            <w:right w:w="108" w:type="dxa"/>
          </w:tblCellMar>
        </w:tblPrEx>
        <w:trPr>
          <w:trHeight w:val="20" w:hRule="exact"/>
        </w:trPr>
        <w:tc>
          <w:tcPr>
            <w:tcW w:w="567" w:type="dxa"/>
            <w:gridSpan w:val="8"/>
            <w:vMerge w:val="restart"/>
            <w:tcBorders>
              <w:top w:val="single" w:color="auto" w:sz="8" w:space="0"/>
              <w:left w:val="single" w:color="auto" w:sz="8" w:space="0"/>
              <w:bottom w:val="single" w:color="000000" w:sz="8" w:space="0"/>
              <w:right w:val="single" w:color="000000" w:sz="8" w:space="0"/>
            </w:tcBorders>
            <w:noWrap/>
            <w:vAlign w:val="top"/>
          </w:tcPr>
          <w:p w14:paraId="38E71AEC">
            <w:pPr>
              <w:shd w:val="clear"/>
              <w:rPr>
                <w:color w:val="000000"/>
                <w:szCs w:val="21"/>
                <w:highlight w:val="none"/>
              </w:rPr>
            </w:pPr>
            <w:r>
              <w:rPr>
                <w:rFonts w:hint="eastAsia"/>
                <w:color w:val="000000"/>
                <w:szCs w:val="21"/>
                <w:highlight w:val="none"/>
              </w:rPr>
              <w:t>（资质、业绩、技术、能力，投标保证金等方面）</w:t>
            </w:r>
          </w:p>
          <w:p w14:paraId="1E78B1BA">
            <w:pPr>
              <w:shd w:val="clear"/>
              <w:rPr>
                <w:szCs w:val="21"/>
                <w:highlight w:val="none"/>
              </w:rPr>
            </w:pPr>
          </w:p>
          <w:p w14:paraId="7BDCF733">
            <w:pPr>
              <w:shd w:val="clear"/>
              <w:tabs>
                <w:tab w:val="left" w:pos="3171"/>
              </w:tabs>
              <w:rPr>
                <w:szCs w:val="21"/>
                <w:highlight w:val="none"/>
              </w:rPr>
            </w:pPr>
          </w:p>
        </w:tc>
      </w:tr>
      <w:tr w14:paraId="1D5B29E3">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1D4FFC6E">
            <w:pPr>
              <w:shd w:val="clear"/>
              <w:rPr>
                <w:color w:val="000000"/>
                <w:szCs w:val="21"/>
                <w:highlight w:val="none"/>
              </w:rPr>
            </w:pPr>
          </w:p>
        </w:tc>
      </w:tr>
      <w:tr w14:paraId="75953028">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149A89D">
            <w:pPr>
              <w:shd w:val="clear"/>
              <w:rPr>
                <w:color w:val="000000"/>
                <w:szCs w:val="21"/>
                <w:highlight w:val="none"/>
              </w:rPr>
            </w:pPr>
          </w:p>
        </w:tc>
      </w:tr>
      <w:tr w14:paraId="281B3A27">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8FECC3A">
            <w:pPr>
              <w:shd w:val="clear"/>
              <w:rPr>
                <w:color w:val="000000"/>
                <w:szCs w:val="21"/>
                <w:highlight w:val="none"/>
              </w:rPr>
            </w:pPr>
          </w:p>
        </w:tc>
      </w:tr>
      <w:tr w14:paraId="009C5FF2">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4045F4F1">
            <w:pPr>
              <w:shd w:val="clear"/>
              <w:rPr>
                <w:color w:val="000000"/>
                <w:szCs w:val="21"/>
                <w:highlight w:val="none"/>
              </w:rPr>
            </w:pPr>
          </w:p>
        </w:tc>
      </w:tr>
      <w:tr w14:paraId="29A7FCB0">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72581FC">
            <w:pPr>
              <w:shd w:val="clear"/>
              <w:rPr>
                <w:color w:val="000000"/>
                <w:szCs w:val="21"/>
                <w:highlight w:val="none"/>
              </w:rPr>
            </w:pPr>
          </w:p>
        </w:tc>
      </w:tr>
      <w:tr w14:paraId="7A5D1E9B">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9CBAD1E">
            <w:pPr>
              <w:shd w:val="clear"/>
              <w:rPr>
                <w:color w:val="000000"/>
                <w:szCs w:val="21"/>
                <w:highlight w:val="none"/>
              </w:rPr>
            </w:pPr>
          </w:p>
        </w:tc>
      </w:tr>
      <w:tr w14:paraId="4B3D6EC6">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EDD37A6">
            <w:pPr>
              <w:shd w:val="clear"/>
              <w:rPr>
                <w:color w:val="000000"/>
                <w:szCs w:val="21"/>
                <w:highlight w:val="none"/>
              </w:rPr>
            </w:pPr>
          </w:p>
        </w:tc>
      </w:tr>
      <w:tr w14:paraId="010446B4">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19874F7D">
            <w:pPr>
              <w:shd w:val="clear"/>
              <w:rPr>
                <w:color w:val="000000"/>
                <w:szCs w:val="21"/>
                <w:highlight w:val="none"/>
              </w:rPr>
            </w:pPr>
          </w:p>
        </w:tc>
      </w:tr>
      <w:tr w14:paraId="4370D1F2">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735168BC">
            <w:pPr>
              <w:shd w:val="clear"/>
              <w:rPr>
                <w:color w:val="000000"/>
                <w:szCs w:val="21"/>
                <w:highlight w:val="none"/>
              </w:rPr>
            </w:pPr>
          </w:p>
        </w:tc>
      </w:tr>
      <w:tr w14:paraId="4FEC0BA0">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E4A7FAD">
            <w:pPr>
              <w:shd w:val="clear"/>
              <w:rPr>
                <w:color w:val="000000"/>
                <w:szCs w:val="21"/>
                <w:highlight w:val="none"/>
              </w:rPr>
            </w:pPr>
          </w:p>
        </w:tc>
      </w:tr>
      <w:tr w14:paraId="758D665B">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794578F2">
            <w:pPr>
              <w:shd w:val="clear"/>
              <w:rPr>
                <w:color w:val="000000"/>
                <w:szCs w:val="21"/>
                <w:highlight w:val="none"/>
              </w:rPr>
            </w:pPr>
          </w:p>
        </w:tc>
      </w:tr>
      <w:tr w14:paraId="172AF369">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542FF527">
            <w:pPr>
              <w:shd w:val="clear"/>
              <w:rPr>
                <w:color w:val="000000"/>
                <w:szCs w:val="21"/>
                <w:highlight w:val="none"/>
              </w:rPr>
            </w:pPr>
          </w:p>
        </w:tc>
      </w:tr>
      <w:tr w14:paraId="05987F5E">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5B0CAB4">
            <w:pPr>
              <w:shd w:val="clear"/>
              <w:rPr>
                <w:color w:val="000000"/>
                <w:szCs w:val="21"/>
                <w:highlight w:val="none"/>
              </w:rPr>
            </w:pPr>
          </w:p>
        </w:tc>
      </w:tr>
      <w:tr w14:paraId="11F54524">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6D02D163">
            <w:pPr>
              <w:shd w:val="clear"/>
              <w:rPr>
                <w:color w:val="000000"/>
                <w:szCs w:val="21"/>
                <w:highlight w:val="none"/>
              </w:rPr>
            </w:pPr>
          </w:p>
        </w:tc>
      </w:tr>
      <w:tr w14:paraId="1B11A7A9">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7D90F21D">
            <w:pPr>
              <w:shd w:val="clear"/>
              <w:rPr>
                <w:color w:val="000000"/>
                <w:szCs w:val="21"/>
                <w:highlight w:val="none"/>
              </w:rPr>
            </w:pPr>
          </w:p>
        </w:tc>
      </w:tr>
      <w:tr w14:paraId="75F0867F">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63ED8F8">
            <w:pPr>
              <w:shd w:val="clear"/>
              <w:rPr>
                <w:color w:val="000000"/>
                <w:szCs w:val="21"/>
                <w:highlight w:val="none"/>
              </w:rPr>
            </w:pPr>
          </w:p>
        </w:tc>
      </w:tr>
      <w:tr w14:paraId="35D91EA7">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FBCBAD6">
            <w:pPr>
              <w:shd w:val="clear"/>
              <w:rPr>
                <w:color w:val="000000"/>
                <w:szCs w:val="21"/>
                <w:highlight w:val="none"/>
              </w:rPr>
            </w:pPr>
          </w:p>
        </w:tc>
      </w:tr>
      <w:tr w14:paraId="5049B526">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3D9BE29C">
            <w:pPr>
              <w:shd w:val="clear"/>
              <w:rPr>
                <w:color w:val="000000"/>
                <w:szCs w:val="21"/>
                <w:highlight w:val="none"/>
              </w:rPr>
            </w:pPr>
          </w:p>
        </w:tc>
      </w:tr>
      <w:tr w14:paraId="208BA91F">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43FE9C7C">
            <w:pPr>
              <w:shd w:val="clear"/>
              <w:rPr>
                <w:color w:val="000000"/>
                <w:szCs w:val="21"/>
                <w:highlight w:val="none"/>
              </w:rPr>
            </w:pPr>
          </w:p>
        </w:tc>
      </w:tr>
      <w:tr w14:paraId="4D4E5C86">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2398FD66">
            <w:pPr>
              <w:shd w:val="clear"/>
              <w:rPr>
                <w:color w:val="000000"/>
                <w:szCs w:val="21"/>
                <w:highlight w:val="none"/>
              </w:rPr>
            </w:pPr>
          </w:p>
        </w:tc>
      </w:tr>
      <w:tr w14:paraId="01448738">
        <w:tblPrEx>
          <w:tblCellMar>
            <w:top w:w="0" w:type="dxa"/>
            <w:left w:w="108" w:type="dxa"/>
            <w:bottom w:w="0" w:type="dxa"/>
            <w:right w:w="108" w:type="dxa"/>
          </w:tblCellMar>
        </w:tblPrEx>
        <w:trPr>
          <w:trHeight w:val="312" w:hRule="atLeast"/>
        </w:trPr>
        <w:tc>
          <w:tcPr>
            <w:tcW w:w="9781" w:type="dxa"/>
            <w:gridSpan w:val="8"/>
            <w:vMerge w:val="continue"/>
            <w:tcBorders>
              <w:top w:val="single" w:color="auto" w:sz="8" w:space="0"/>
              <w:left w:val="single" w:color="auto" w:sz="8" w:space="0"/>
              <w:bottom w:val="single" w:color="000000" w:sz="8" w:space="0"/>
              <w:right w:val="single" w:color="000000" w:sz="8" w:space="0"/>
            </w:tcBorders>
            <w:noWrap w:val="0"/>
            <w:vAlign w:val="center"/>
          </w:tcPr>
          <w:p w14:paraId="08E01214">
            <w:pPr>
              <w:shd w:val="clear"/>
              <w:rPr>
                <w:color w:val="000000"/>
                <w:szCs w:val="21"/>
                <w:highlight w:val="none"/>
              </w:rPr>
            </w:pPr>
          </w:p>
        </w:tc>
      </w:tr>
      <w:tr w14:paraId="4F3B6F99">
        <w:tblPrEx>
          <w:tblCellMar>
            <w:top w:w="0" w:type="dxa"/>
            <w:left w:w="108" w:type="dxa"/>
            <w:bottom w:w="0" w:type="dxa"/>
            <w:right w:w="108" w:type="dxa"/>
          </w:tblCellMar>
        </w:tblPrEx>
        <w:trPr>
          <w:trHeight w:val="312" w:hRule="atLeast"/>
        </w:trPr>
        <w:tc>
          <w:tcPr>
            <w:tcW w:w="1843" w:type="dxa"/>
            <w:gridSpan w:val="2"/>
            <w:vMerge w:val="restart"/>
            <w:tcBorders>
              <w:top w:val="single" w:color="000000" w:sz="8" w:space="0"/>
              <w:left w:val="single" w:color="auto" w:sz="8" w:space="0"/>
              <w:bottom w:val="single" w:color="000000" w:sz="8" w:space="0"/>
              <w:right w:val="single" w:color="000000" w:sz="8" w:space="0"/>
            </w:tcBorders>
            <w:noWrap/>
            <w:vAlign w:val="center"/>
          </w:tcPr>
          <w:p w14:paraId="02C49883">
            <w:pPr>
              <w:shd w:val="clear"/>
              <w:jc w:val="center"/>
              <w:rPr>
                <w:color w:val="000000"/>
                <w:szCs w:val="21"/>
                <w:highlight w:val="none"/>
              </w:rPr>
            </w:pPr>
            <w:r>
              <w:rPr>
                <w:rFonts w:hint="eastAsia"/>
                <w:color w:val="000000"/>
                <w:szCs w:val="21"/>
                <w:highlight w:val="none"/>
              </w:rPr>
              <w:t>资格审查人员</w:t>
            </w:r>
          </w:p>
        </w:tc>
        <w:tc>
          <w:tcPr>
            <w:tcW w:w="7938" w:type="dxa"/>
            <w:gridSpan w:val="6"/>
            <w:vMerge w:val="restart"/>
            <w:tcBorders>
              <w:top w:val="single" w:color="000000" w:sz="8" w:space="0"/>
              <w:left w:val="single" w:color="auto" w:sz="8" w:space="0"/>
              <w:bottom w:val="single" w:color="000000" w:sz="8" w:space="0"/>
              <w:right w:val="single" w:color="000000" w:sz="8" w:space="0"/>
            </w:tcBorders>
            <w:noWrap/>
            <w:vAlign w:val="center"/>
          </w:tcPr>
          <w:p w14:paraId="61439E03">
            <w:pPr>
              <w:shd w:val="clear"/>
              <w:jc w:val="center"/>
              <w:rPr>
                <w:color w:val="000000"/>
                <w:szCs w:val="21"/>
                <w:highlight w:val="none"/>
              </w:rPr>
            </w:pPr>
            <w:r>
              <w:rPr>
                <w:rFonts w:hint="eastAsia"/>
                <w:color w:val="000000"/>
                <w:szCs w:val="21"/>
                <w:highlight w:val="none"/>
              </w:rPr>
              <w:t>　</w:t>
            </w:r>
          </w:p>
        </w:tc>
      </w:tr>
      <w:tr w14:paraId="3D666245">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119FD919">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52B4BA34">
            <w:pPr>
              <w:shd w:val="clear"/>
              <w:rPr>
                <w:color w:val="000000"/>
                <w:szCs w:val="21"/>
                <w:highlight w:val="none"/>
              </w:rPr>
            </w:pPr>
          </w:p>
        </w:tc>
      </w:tr>
      <w:tr w14:paraId="2AADD90A">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3A63D9CE">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48355E51">
            <w:pPr>
              <w:shd w:val="clear"/>
              <w:rPr>
                <w:color w:val="000000"/>
                <w:szCs w:val="21"/>
                <w:highlight w:val="none"/>
              </w:rPr>
            </w:pPr>
          </w:p>
        </w:tc>
      </w:tr>
      <w:tr w14:paraId="38396BDE">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000000" w:sz="8" w:space="0"/>
              <w:right w:val="single" w:color="000000" w:sz="8" w:space="0"/>
            </w:tcBorders>
            <w:noWrap w:val="0"/>
            <w:vAlign w:val="center"/>
          </w:tcPr>
          <w:p w14:paraId="21BC6E53">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000000" w:sz="8" w:space="0"/>
              <w:right w:val="single" w:color="000000" w:sz="8" w:space="0"/>
            </w:tcBorders>
            <w:noWrap w:val="0"/>
            <w:vAlign w:val="center"/>
          </w:tcPr>
          <w:p w14:paraId="1104C3DE">
            <w:pPr>
              <w:shd w:val="clear"/>
              <w:rPr>
                <w:color w:val="000000"/>
                <w:szCs w:val="21"/>
                <w:highlight w:val="none"/>
              </w:rPr>
            </w:pPr>
          </w:p>
        </w:tc>
      </w:tr>
      <w:tr w14:paraId="5CF33F5A">
        <w:tblPrEx>
          <w:tblCellMar>
            <w:top w:w="0" w:type="dxa"/>
            <w:left w:w="108" w:type="dxa"/>
            <w:bottom w:w="0" w:type="dxa"/>
            <w:right w:w="108" w:type="dxa"/>
          </w:tblCellMar>
        </w:tblPrEx>
        <w:trPr>
          <w:trHeight w:val="312" w:hRule="atLeast"/>
        </w:trPr>
        <w:tc>
          <w:tcPr>
            <w:tcW w:w="1843" w:type="dxa"/>
            <w:gridSpan w:val="2"/>
            <w:vMerge w:val="continue"/>
            <w:tcBorders>
              <w:top w:val="single" w:color="000000" w:sz="8" w:space="0"/>
              <w:left w:val="single" w:color="auto" w:sz="8" w:space="0"/>
              <w:bottom w:val="single" w:color="auto" w:sz="4" w:space="0"/>
              <w:right w:val="single" w:color="000000" w:sz="8" w:space="0"/>
            </w:tcBorders>
            <w:noWrap w:val="0"/>
            <w:vAlign w:val="center"/>
          </w:tcPr>
          <w:p w14:paraId="7F686643">
            <w:pPr>
              <w:shd w:val="clear"/>
              <w:rPr>
                <w:color w:val="000000"/>
                <w:szCs w:val="21"/>
                <w:highlight w:val="none"/>
              </w:rPr>
            </w:pPr>
          </w:p>
        </w:tc>
        <w:tc>
          <w:tcPr>
            <w:tcW w:w="7938" w:type="dxa"/>
            <w:gridSpan w:val="6"/>
            <w:vMerge w:val="continue"/>
            <w:tcBorders>
              <w:top w:val="single" w:color="000000" w:sz="8" w:space="0"/>
              <w:left w:val="single" w:color="auto" w:sz="8" w:space="0"/>
              <w:bottom w:val="single" w:color="auto" w:sz="4" w:space="0"/>
              <w:right w:val="single" w:color="000000" w:sz="8" w:space="0"/>
            </w:tcBorders>
            <w:noWrap w:val="0"/>
            <w:vAlign w:val="center"/>
          </w:tcPr>
          <w:p w14:paraId="073A5449">
            <w:pPr>
              <w:shd w:val="clear"/>
              <w:rPr>
                <w:color w:val="000000"/>
                <w:szCs w:val="21"/>
                <w:highlight w:val="none"/>
              </w:rPr>
            </w:pPr>
          </w:p>
        </w:tc>
      </w:tr>
      <w:tr w14:paraId="39EA4420">
        <w:tblPrEx>
          <w:tblCellMar>
            <w:top w:w="0" w:type="dxa"/>
            <w:left w:w="108" w:type="dxa"/>
            <w:bottom w:w="0" w:type="dxa"/>
            <w:right w:w="108" w:type="dxa"/>
          </w:tblCellMar>
        </w:tblPrEx>
        <w:trPr>
          <w:trHeight w:val="558" w:hRule="atLeast"/>
        </w:trPr>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27ED174E">
            <w:pPr>
              <w:shd w:val="clear"/>
              <w:jc w:val="center"/>
              <w:rPr>
                <w:color w:val="000000"/>
                <w:szCs w:val="21"/>
                <w:highlight w:val="none"/>
              </w:rPr>
            </w:pPr>
            <w:r>
              <w:rPr>
                <w:rFonts w:hint="eastAsia"/>
                <w:color w:val="000000"/>
                <w:sz w:val="22"/>
                <w:highlight w:val="none"/>
              </w:rPr>
              <w:t>工作人员</w:t>
            </w:r>
          </w:p>
        </w:tc>
        <w:tc>
          <w:tcPr>
            <w:tcW w:w="7938" w:type="dxa"/>
            <w:gridSpan w:val="6"/>
            <w:tcBorders>
              <w:top w:val="single" w:color="auto" w:sz="4" w:space="0"/>
              <w:left w:val="single" w:color="auto" w:sz="4" w:space="0"/>
              <w:bottom w:val="single" w:color="auto" w:sz="4" w:space="0"/>
              <w:right w:val="single" w:color="auto" w:sz="4" w:space="0"/>
            </w:tcBorders>
            <w:noWrap w:val="0"/>
            <w:vAlign w:val="center"/>
          </w:tcPr>
          <w:p w14:paraId="420DC549">
            <w:pPr>
              <w:shd w:val="clear"/>
              <w:rPr>
                <w:color w:val="000000"/>
                <w:szCs w:val="21"/>
                <w:highlight w:val="none"/>
              </w:rPr>
            </w:pPr>
            <w:r>
              <w:rPr>
                <w:rFonts w:hint="eastAsia"/>
                <w:color w:val="000000"/>
                <w:sz w:val="22"/>
                <w:highlight w:val="none"/>
              </w:rPr>
              <w:t>　</w:t>
            </w:r>
          </w:p>
        </w:tc>
      </w:tr>
    </w:tbl>
    <w:p w14:paraId="4BB1F94B">
      <w:pPr>
        <w:pStyle w:val="63"/>
        <w:shd w:val="clear"/>
        <w:ind w:left="0" w:firstLine="0"/>
        <w:rPr>
          <w:rFonts w:hint="eastAsia" w:cs="宋体"/>
          <w:b w:val="0"/>
          <w:bCs w:val="0"/>
          <w:sz w:val="30"/>
          <w:szCs w:val="30"/>
          <w:highlight w:val="none"/>
        </w:rPr>
      </w:pPr>
      <w:r>
        <w:rPr>
          <w:color w:val="000000"/>
          <w:szCs w:val="21"/>
          <w:highlight w:val="none"/>
        </w:rPr>
        <w:br w:type="page"/>
      </w:r>
      <w:r>
        <w:rPr>
          <w:rFonts w:hint="eastAsia" w:cs="宋体"/>
          <w:b w:val="0"/>
          <w:bCs w:val="0"/>
          <w:sz w:val="30"/>
          <w:szCs w:val="30"/>
          <w:highlight w:val="none"/>
        </w:rPr>
        <w:t>2. 评分表</w:t>
      </w:r>
    </w:p>
    <w:p w14:paraId="448F675F">
      <w:pPr>
        <w:pStyle w:val="63"/>
        <w:shd w:val="clear"/>
        <w:tabs>
          <w:tab w:val="left" w:pos="2342"/>
        </w:tabs>
        <w:jc w:val="both"/>
        <w:rPr>
          <w:highlight w:val="none"/>
        </w:rPr>
      </w:pPr>
      <w:r>
        <w:rPr>
          <w:highlight w:val="none"/>
        </w:rPr>
        <w:tab/>
      </w:r>
      <w:r>
        <w:rPr>
          <w:highlight w:val="none"/>
        </w:rPr>
        <w:tab/>
      </w:r>
    </w:p>
    <w:tbl>
      <w:tblPr>
        <w:tblStyle w:val="4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190"/>
        <w:gridCol w:w="5994"/>
      </w:tblGrid>
      <w:tr w14:paraId="3EF3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noWrap w:val="0"/>
            <w:vAlign w:val="center"/>
          </w:tcPr>
          <w:p w14:paraId="7411B2A0">
            <w:pPr>
              <w:shd w:val="clear"/>
              <w:jc w:val="center"/>
              <w:rPr>
                <w:rFonts w:cs="仿宋"/>
                <w:b/>
                <w:highlight w:val="none"/>
              </w:rPr>
            </w:pPr>
            <w:r>
              <w:rPr>
                <w:rFonts w:hint="eastAsia" w:cs="仿宋"/>
                <w:b/>
                <w:highlight w:val="none"/>
              </w:rPr>
              <w:t>项目</w:t>
            </w:r>
          </w:p>
        </w:tc>
        <w:tc>
          <w:tcPr>
            <w:tcW w:w="2190" w:type="dxa"/>
            <w:noWrap w:val="0"/>
            <w:vAlign w:val="center"/>
          </w:tcPr>
          <w:p w14:paraId="13259CCD">
            <w:pPr>
              <w:shd w:val="clear"/>
              <w:jc w:val="center"/>
              <w:rPr>
                <w:rFonts w:hint="eastAsia" w:cs="仿宋"/>
                <w:b/>
                <w:highlight w:val="none"/>
              </w:rPr>
            </w:pPr>
            <w:r>
              <w:rPr>
                <w:rFonts w:hint="eastAsia" w:cs="仿宋"/>
                <w:b/>
                <w:highlight w:val="none"/>
              </w:rPr>
              <w:t>分值</w:t>
            </w:r>
          </w:p>
        </w:tc>
        <w:tc>
          <w:tcPr>
            <w:tcW w:w="5994" w:type="dxa"/>
            <w:noWrap w:val="0"/>
            <w:vAlign w:val="center"/>
          </w:tcPr>
          <w:p w14:paraId="31D7C62F">
            <w:pPr>
              <w:shd w:val="clear"/>
              <w:spacing w:line="360" w:lineRule="auto"/>
              <w:jc w:val="center"/>
              <w:rPr>
                <w:rFonts w:cs="仿宋"/>
                <w:b/>
                <w:highlight w:val="none"/>
              </w:rPr>
            </w:pPr>
            <w:r>
              <w:rPr>
                <w:rFonts w:hint="eastAsia" w:cs="仿宋"/>
                <w:b/>
                <w:highlight w:val="none"/>
              </w:rPr>
              <w:t>评分细则</w:t>
            </w:r>
          </w:p>
        </w:tc>
      </w:tr>
      <w:tr w14:paraId="217A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71" w:type="dxa"/>
            <w:noWrap w:val="0"/>
            <w:vAlign w:val="center"/>
          </w:tcPr>
          <w:p w14:paraId="4A9E385F">
            <w:pPr>
              <w:shd w:val="clear"/>
              <w:jc w:val="center"/>
              <w:rPr>
                <w:rFonts w:hint="eastAsia"/>
                <w:highlight w:val="none"/>
                <w:lang w:val="en-US" w:eastAsia="zh-CN"/>
              </w:rPr>
            </w:pPr>
            <w:r>
              <w:rPr>
                <w:rFonts w:hint="eastAsia"/>
                <w:highlight w:val="none"/>
                <w:lang w:val="en-US" w:eastAsia="zh-CN"/>
              </w:rPr>
              <w:t>业绩评分</w:t>
            </w:r>
          </w:p>
          <w:p w14:paraId="626F2DE9">
            <w:pPr>
              <w:pStyle w:val="2"/>
              <w:shd w:val="clear"/>
              <w:ind w:left="0" w:leftChars="0" w:firstLine="0" w:firstLineChars="0"/>
              <w:jc w:val="center"/>
              <w:rPr>
                <w:rFonts w:hint="eastAsia"/>
                <w:highlight w:val="none"/>
                <w:lang w:val="en-US" w:eastAsia="zh-CN"/>
              </w:rPr>
            </w:pPr>
            <w:r>
              <w:rPr>
                <w:rFonts w:hint="eastAsia" w:cs="仿宋"/>
                <w:bCs/>
                <w:highlight w:val="none"/>
              </w:rPr>
              <w:t>(</w:t>
            </w:r>
            <w:r>
              <w:rPr>
                <w:rFonts w:hint="eastAsia" w:cs="仿宋"/>
                <w:bCs/>
                <w:highlight w:val="none"/>
                <w:lang w:val="en-US" w:eastAsia="zh-CN"/>
              </w:rPr>
              <w:t>5</w:t>
            </w:r>
            <w:r>
              <w:rPr>
                <w:rFonts w:hint="eastAsia" w:cs="仿宋"/>
                <w:bCs/>
                <w:highlight w:val="none"/>
              </w:rPr>
              <w:t>分)</w:t>
            </w:r>
          </w:p>
        </w:tc>
        <w:tc>
          <w:tcPr>
            <w:tcW w:w="2190" w:type="dxa"/>
            <w:noWrap w:val="0"/>
            <w:vAlign w:val="center"/>
          </w:tcPr>
          <w:p w14:paraId="31C7C85C">
            <w:pPr>
              <w:shd w:val="clear"/>
              <w:jc w:val="center"/>
              <w:rPr>
                <w:rFonts w:cs="仿宋"/>
                <w:bCs/>
                <w:highlight w:val="none"/>
              </w:rPr>
            </w:pPr>
            <w:r>
              <w:rPr>
                <w:rFonts w:hint="eastAsia" w:cs="仿宋"/>
                <w:bCs/>
                <w:highlight w:val="none"/>
              </w:rPr>
              <w:t>业绩</w:t>
            </w:r>
            <w:r>
              <w:rPr>
                <w:rFonts w:hint="eastAsia" w:cs="仿宋"/>
                <w:bCs/>
                <w:highlight w:val="none"/>
                <w:lang w:val="en-US" w:eastAsia="zh-CN"/>
              </w:rPr>
              <w:t>5</w:t>
            </w:r>
            <w:r>
              <w:rPr>
                <w:rFonts w:hint="eastAsia" w:cs="仿宋"/>
                <w:bCs/>
                <w:highlight w:val="none"/>
              </w:rPr>
              <w:t>分</w:t>
            </w:r>
          </w:p>
        </w:tc>
        <w:tc>
          <w:tcPr>
            <w:tcW w:w="5994" w:type="dxa"/>
            <w:noWrap w:val="0"/>
            <w:vAlign w:val="center"/>
          </w:tcPr>
          <w:p w14:paraId="7F99403A">
            <w:pPr>
              <w:shd w:val="clear"/>
              <w:rPr>
                <w:rFonts w:hint="default" w:eastAsia="宋体" w:cs="仿宋"/>
                <w:bCs/>
                <w:highlight w:val="none"/>
                <w:lang w:val="en-US" w:eastAsia="zh-CN"/>
              </w:rPr>
            </w:pPr>
            <w:r>
              <w:rPr>
                <w:rFonts w:hint="eastAsia" w:cs="仿宋"/>
                <w:bCs/>
                <w:highlight w:val="none"/>
                <w:lang w:val="en-US" w:eastAsia="zh-CN"/>
              </w:rPr>
              <w:t>以三份有效业绩为基础，超出部分每提供一份同类业绩得1分，最高5分</w:t>
            </w:r>
          </w:p>
        </w:tc>
      </w:tr>
      <w:tr w14:paraId="6484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71" w:type="dxa"/>
            <w:noWrap w:val="0"/>
            <w:vAlign w:val="center"/>
          </w:tcPr>
          <w:p w14:paraId="6489E577">
            <w:pPr>
              <w:shd w:val="clear"/>
              <w:jc w:val="center"/>
              <w:rPr>
                <w:rFonts w:hint="eastAsia" w:cs="仿宋"/>
                <w:bCs/>
                <w:highlight w:val="none"/>
              </w:rPr>
            </w:pPr>
            <w:r>
              <w:rPr>
                <w:rFonts w:hint="eastAsia" w:cs="仿宋"/>
                <w:bCs/>
                <w:highlight w:val="none"/>
                <w:lang w:val="en-US" w:eastAsia="zh-CN"/>
              </w:rPr>
              <w:t>综合</w:t>
            </w:r>
            <w:r>
              <w:rPr>
                <w:rFonts w:hint="eastAsia" w:cs="仿宋"/>
                <w:bCs/>
                <w:highlight w:val="none"/>
              </w:rPr>
              <w:t>评分</w:t>
            </w:r>
          </w:p>
          <w:p w14:paraId="1D071FE6">
            <w:pPr>
              <w:shd w:val="clear"/>
              <w:ind w:left="-136" w:leftChars="-57" w:right="-204" w:rightChars="-85"/>
              <w:jc w:val="center"/>
              <w:rPr>
                <w:rFonts w:cs="仿宋"/>
                <w:bCs/>
                <w:highlight w:val="none"/>
              </w:rPr>
            </w:pPr>
            <w:r>
              <w:rPr>
                <w:rFonts w:hint="eastAsia" w:cs="仿宋"/>
                <w:bCs/>
                <w:highlight w:val="none"/>
              </w:rPr>
              <w:t>(</w:t>
            </w:r>
            <w:r>
              <w:rPr>
                <w:rFonts w:hint="eastAsia" w:cs="仿宋"/>
                <w:bCs/>
                <w:highlight w:val="none"/>
                <w:lang w:val="en-US" w:eastAsia="zh-CN"/>
              </w:rPr>
              <w:t>15</w:t>
            </w:r>
            <w:r>
              <w:rPr>
                <w:rFonts w:hint="eastAsia" w:cs="仿宋"/>
                <w:bCs/>
                <w:highlight w:val="none"/>
              </w:rPr>
              <w:t>分)</w:t>
            </w:r>
          </w:p>
        </w:tc>
        <w:tc>
          <w:tcPr>
            <w:tcW w:w="2190" w:type="dxa"/>
            <w:noWrap w:val="0"/>
            <w:vAlign w:val="center"/>
          </w:tcPr>
          <w:p w14:paraId="752EFB3F">
            <w:pPr>
              <w:shd w:val="clear"/>
              <w:jc w:val="center"/>
              <w:rPr>
                <w:rFonts w:hint="default" w:eastAsia="宋体" w:cs="仿宋"/>
                <w:bCs/>
                <w:highlight w:val="none"/>
                <w:lang w:val="en-US" w:eastAsia="zh-CN"/>
              </w:rPr>
            </w:pPr>
            <w:r>
              <w:rPr>
                <w:rFonts w:hint="eastAsia" w:cs="仿宋"/>
                <w:bCs/>
                <w:highlight w:val="none"/>
                <w:lang w:val="en-US" w:eastAsia="zh-CN"/>
              </w:rPr>
              <w:t>综合评分15分</w:t>
            </w:r>
          </w:p>
        </w:tc>
        <w:tc>
          <w:tcPr>
            <w:tcW w:w="5994" w:type="dxa"/>
            <w:noWrap w:val="0"/>
            <w:vAlign w:val="center"/>
          </w:tcPr>
          <w:p w14:paraId="6E4FEF67">
            <w:pPr>
              <w:shd w:val="clear"/>
              <w:rPr>
                <w:rFonts w:hint="default" w:cs="仿宋"/>
                <w:bCs/>
                <w:highlight w:val="none"/>
                <w:lang w:val="en-US" w:eastAsia="zh-CN"/>
              </w:rPr>
            </w:pPr>
            <w:r>
              <w:rPr>
                <w:rFonts w:hint="eastAsia" w:cs="仿宋"/>
                <w:bCs/>
                <w:highlight w:val="none"/>
                <w:lang w:val="en-US" w:eastAsia="zh-CN"/>
              </w:rPr>
              <w:t>评委根据投标方的企业情况、服务响应程度、单价与市场的偏离度等综合打分，最高15分</w:t>
            </w:r>
          </w:p>
        </w:tc>
      </w:tr>
      <w:tr w14:paraId="6D7C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271" w:type="dxa"/>
            <w:noWrap w:val="0"/>
            <w:vAlign w:val="center"/>
          </w:tcPr>
          <w:p w14:paraId="062BFD30">
            <w:pPr>
              <w:shd w:val="clear"/>
              <w:jc w:val="center"/>
              <w:rPr>
                <w:rFonts w:hint="eastAsia" w:eastAsia="宋体"/>
                <w:highlight w:val="none"/>
                <w:lang w:val="en-US" w:eastAsia="zh-CN"/>
              </w:rPr>
            </w:pPr>
            <w:r>
              <w:rPr>
                <w:rFonts w:hint="eastAsia"/>
                <w:highlight w:val="none"/>
              </w:rPr>
              <w:t>投标报价</w:t>
            </w:r>
            <w:r>
              <w:rPr>
                <w:rFonts w:hint="eastAsia"/>
                <w:highlight w:val="none"/>
                <w:lang w:val="en-US" w:eastAsia="zh-CN"/>
              </w:rPr>
              <w:t>评分</w:t>
            </w:r>
          </w:p>
          <w:p w14:paraId="1F4CDF00">
            <w:pPr>
              <w:pStyle w:val="2"/>
              <w:shd w:val="clear"/>
              <w:ind w:left="0" w:leftChars="0" w:firstLine="0" w:firstLineChars="0"/>
              <w:rPr>
                <w:rFonts w:hint="eastAsia" w:eastAsia="宋体"/>
                <w:highlight w:val="none"/>
                <w:lang w:eastAsia="zh-CN"/>
              </w:rPr>
            </w:pPr>
            <w:r>
              <w:rPr>
                <w:rFonts w:hint="eastAsia" w:cs="仿宋"/>
                <w:bCs/>
                <w:highlight w:val="none"/>
                <w:lang w:eastAsia="zh-CN"/>
              </w:rPr>
              <w:t>（</w:t>
            </w:r>
            <w:r>
              <w:rPr>
                <w:rFonts w:hint="eastAsia" w:cs="仿宋"/>
                <w:bCs/>
                <w:highlight w:val="none"/>
                <w:lang w:val="en-US" w:eastAsia="zh-CN"/>
              </w:rPr>
              <w:t>80分</w:t>
            </w:r>
            <w:r>
              <w:rPr>
                <w:rFonts w:hint="eastAsia" w:cs="仿宋"/>
                <w:bCs/>
                <w:highlight w:val="none"/>
                <w:lang w:eastAsia="zh-CN"/>
              </w:rPr>
              <w:t>）</w:t>
            </w:r>
          </w:p>
        </w:tc>
        <w:tc>
          <w:tcPr>
            <w:tcW w:w="2190" w:type="dxa"/>
            <w:noWrap w:val="0"/>
            <w:vAlign w:val="center"/>
          </w:tcPr>
          <w:p w14:paraId="1A9172AE">
            <w:pPr>
              <w:shd w:val="clear"/>
              <w:spacing w:line="360" w:lineRule="auto"/>
              <w:jc w:val="center"/>
              <w:rPr>
                <w:rFonts w:cs="仿宋"/>
                <w:bCs/>
                <w:highlight w:val="none"/>
              </w:rPr>
            </w:pPr>
            <w:r>
              <w:rPr>
                <w:rFonts w:hint="eastAsia" w:cs="仿宋"/>
                <w:bCs/>
                <w:highlight w:val="none"/>
                <w:lang w:val="en-US" w:eastAsia="zh-CN"/>
              </w:rPr>
              <w:t>80</w:t>
            </w:r>
            <w:r>
              <w:rPr>
                <w:rFonts w:hint="eastAsia" w:cs="仿宋"/>
                <w:bCs/>
                <w:highlight w:val="none"/>
              </w:rPr>
              <w:t>分</w:t>
            </w:r>
          </w:p>
        </w:tc>
        <w:tc>
          <w:tcPr>
            <w:tcW w:w="5994" w:type="dxa"/>
            <w:noWrap w:val="0"/>
            <w:vAlign w:val="center"/>
          </w:tcPr>
          <w:p w14:paraId="641249DD">
            <w:pPr>
              <w:shd w:val="clear"/>
              <w:tabs>
                <w:tab w:val="right" w:pos="8306"/>
              </w:tabs>
              <w:spacing w:line="400" w:lineRule="exact"/>
              <w:rPr>
                <w:rFonts w:cs="仿宋"/>
                <w:bCs/>
                <w:highlight w:val="none"/>
              </w:rPr>
            </w:pPr>
            <w:r>
              <w:rPr>
                <w:rFonts w:hint="eastAsia" w:cs="仿宋"/>
                <w:bCs/>
                <w:highlight w:val="none"/>
              </w:rPr>
              <w:t>1.评标基准价</w:t>
            </w:r>
          </w:p>
          <w:p w14:paraId="251EA60E">
            <w:pPr>
              <w:shd w:val="clear"/>
              <w:tabs>
                <w:tab w:val="right" w:pos="8306"/>
              </w:tabs>
              <w:spacing w:line="400" w:lineRule="exact"/>
              <w:ind w:left="-2" w:leftChars="-1"/>
              <w:rPr>
                <w:rFonts w:cs="仿宋"/>
                <w:bCs/>
                <w:highlight w:val="none"/>
              </w:rPr>
            </w:pPr>
            <w:r>
              <w:rPr>
                <w:rFonts w:hint="eastAsia" w:cs="仿宋"/>
                <w:bCs/>
                <w:highlight w:val="none"/>
              </w:rPr>
              <w:t>当有效投标人N≤5时，为有效投标人的最低报价值。</w:t>
            </w:r>
          </w:p>
          <w:p w14:paraId="534DD00F">
            <w:pPr>
              <w:shd w:val="clear"/>
              <w:tabs>
                <w:tab w:val="right" w:pos="8306"/>
              </w:tabs>
              <w:spacing w:line="400" w:lineRule="exact"/>
              <w:ind w:left="-2" w:leftChars="-1"/>
              <w:rPr>
                <w:rFonts w:cs="仿宋"/>
                <w:bCs/>
                <w:highlight w:val="none"/>
              </w:rPr>
            </w:pPr>
            <w:r>
              <w:rPr>
                <w:rFonts w:hint="eastAsia" w:cs="仿宋"/>
                <w:bCs/>
                <w:highlight w:val="none"/>
              </w:rPr>
              <w:t>当有效投标人N＞5时，为有效投标人的次低报价值 。</w:t>
            </w:r>
          </w:p>
          <w:p w14:paraId="18DC7C4C">
            <w:pPr>
              <w:shd w:val="clear"/>
              <w:tabs>
                <w:tab w:val="right" w:pos="8306"/>
              </w:tabs>
              <w:spacing w:line="400" w:lineRule="exact"/>
              <w:rPr>
                <w:rFonts w:hint="eastAsia" w:cs="仿宋"/>
                <w:bCs/>
                <w:highlight w:val="none"/>
              </w:rPr>
            </w:pPr>
            <w:r>
              <w:rPr>
                <w:rFonts w:hint="eastAsia" w:cs="仿宋"/>
                <w:bCs/>
                <w:highlight w:val="none"/>
              </w:rPr>
              <w:t>2.投标报价分值=评标基准价/投标报价*</w:t>
            </w:r>
            <w:r>
              <w:rPr>
                <w:rFonts w:hint="eastAsia" w:cs="仿宋"/>
                <w:bCs/>
                <w:highlight w:val="none"/>
                <w:lang w:val="en-US" w:eastAsia="zh-CN"/>
              </w:rPr>
              <w:t>80</w:t>
            </w:r>
            <w:r>
              <w:rPr>
                <w:rFonts w:hint="eastAsia" w:cs="仿宋"/>
                <w:bCs/>
                <w:highlight w:val="none"/>
              </w:rPr>
              <w:t>（最高</w:t>
            </w:r>
            <w:r>
              <w:rPr>
                <w:rFonts w:hint="eastAsia" w:cs="仿宋"/>
                <w:bCs/>
                <w:highlight w:val="none"/>
                <w:lang w:val="en-US" w:eastAsia="zh-CN"/>
              </w:rPr>
              <w:t>80</w:t>
            </w:r>
            <w:r>
              <w:rPr>
                <w:rFonts w:hint="eastAsia" w:cs="仿宋"/>
                <w:bCs/>
                <w:highlight w:val="none"/>
              </w:rPr>
              <w:t>分）</w:t>
            </w:r>
          </w:p>
          <w:p w14:paraId="46581A6E">
            <w:pPr>
              <w:pStyle w:val="72"/>
              <w:shd w:val="clear"/>
              <w:ind w:firstLine="0" w:firstLineChars="0"/>
              <w:rPr>
                <w:rFonts w:ascii="宋体" w:hAnsi="宋体" w:cs="仿宋"/>
                <w:bCs/>
                <w:kern w:val="0"/>
                <w:sz w:val="24"/>
                <w:highlight w:val="none"/>
              </w:rPr>
            </w:pPr>
            <w:r>
              <w:rPr>
                <w:rFonts w:hint="eastAsia" w:ascii="宋体" w:hAnsi="宋体" w:cs="仿宋"/>
                <w:bCs/>
                <w:kern w:val="0"/>
                <w:sz w:val="24"/>
                <w:highlight w:val="none"/>
              </w:rPr>
              <w:t>3.投标报价分值高于</w:t>
            </w:r>
            <w:r>
              <w:rPr>
                <w:rFonts w:hint="eastAsia" w:ascii="宋体" w:hAnsi="宋体" w:cs="仿宋"/>
                <w:bCs/>
                <w:kern w:val="0"/>
                <w:sz w:val="24"/>
                <w:highlight w:val="none"/>
                <w:lang w:val="en-US" w:eastAsia="zh-CN"/>
              </w:rPr>
              <w:t>80</w:t>
            </w:r>
            <w:r>
              <w:rPr>
                <w:rFonts w:hint="eastAsia" w:ascii="宋体" w:hAnsi="宋体" w:cs="仿宋"/>
                <w:bCs/>
                <w:kern w:val="0"/>
                <w:sz w:val="24"/>
                <w:highlight w:val="none"/>
              </w:rPr>
              <w:t>分按照</w:t>
            </w:r>
            <w:r>
              <w:rPr>
                <w:rFonts w:hint="eastAsia" w:ascii="宋体" w:hAnsi="宋体" w:cs="仿宋"/>
                <w:bCs/>
                <w:kern w:val="0"/>
                <w:sz w:val="24"/>
                <w:highlight w:val="none"/>
                <w:lang w:val="en-US" w:eastAsia="zh-CN"/>
              </w:rPr>
              <w:t>80</w:t>
            </w:r>
            <w:r>
              <w:rPr>
                <w:rFonts w:hint="eastAsia" w:ascii="宋体" w:hAnsi="宋体" w:cs="仿宋"/>
                <w:bCs/>
                <w:kern w:val="0"/>
                <w:sz w:val="24"/>
                <w:highlight w:val="none"/>
              </w:rPr>
              <w:t>分计算。</w:t>
            </w:r>
          </w:p>
        </w:tc>
      </w:tr>
    </w:tbl>
    <w:p w14:paraId="6DFBA2CF">
      <w:pPr>
        <w:pStyle w:val="56"/>
        <w:widowControl/>
        <w:shd w:val="clear"/>
        <w:spacing w:beforeLines="0" w:line="300" w:lineRule="auto"/>
        <w:ind w:left="1233" w:leftChars="514" w:firstLine="660" w:firstLineChars="150"/>
        <w:jc w:val="both"/>
        <w:rPr>
          <w:color w:val="000000"/>
          <w:kern w:val="0"/>
          <w:szCs w:val="21"/>
          <w:highlight w:val="none"/>
        </w:rPr>
      </w:pPr>
    </w:p>
    <w:p w14:paraId="319D0C0C">
      <w:pPr>
        <w:shd w:val="clear"/>
        <w:spacing w:before="156" w:beforeLines="50" w:after="156" w:afterLines="50" w:line="480" w:lineRule="exact"/>
        <w:jc w:val="center"/>
        <w:rPr>
          <w:rFonts w:ascii="宋体" w:hAnsi="宋体"/>
          <w:color w:val="000000"/>
          <w:sz w:val="28"/>
          <w:szCs w:val="28"/>
          <w:highlight w:val="none"/>
        </w:rPr>
      </w:pPr>
      <w:r>
        <w:rPr>
          <w:rFonts w:hint="eastAsia" w:ascii="宋体" w:hAnsi="宋体"/>
          <w:color w:val="000000"/>
          <w:sz w:val="28"/>
          <w:szCs w:val="28"/>
          <w:highlight w:val="none"/>
        </w:rPr>
        <w:t>废 标 条 件</w:t>
      </w:r>
    </w:p>
    <w:p w14:paraId="3DEF8FBB">
      <w:pPr>
        <w:shd w:val="clear"/>
        <w:spacing w:before="156" w:beforeLines="50" w:after="156" w:afterLines="50" w:line="480" w:lineRule="exact"/>
        <w:jc w:val="left"/>
        <w:rPr>
          <w:rFonts w:ascii="宋体" w:hAnsi="宋体"/>
          <w:color w:val="000000"/>
          <w:szCs w:val="21"/>
          <w:highlight w:val="none"/>
        </w:rPr>
      </w:pPr>
      <w:r>
        <w:rPr>
          <w:rFonts w:hint="eastAsia" w:ascii="宋体" w:hAnsi="宋体"/>
          <w:color w:val="000000"/>
          <w:szCs w:val="21"/>
          <w:highlight w:val="none"/>
        </w:rPr>
        <w:t>B0.总则</w:t>
      </w:r>
    </w:p>
    <w:p w14:paraId="4D17F943">
      <w:pPr>
        <w:shd w:val="clear"/>
        <w:spacing w:before="156" w:beforeLines="50" w:after="156" w:afterLines="50" w:line="48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本附件所集中列示的废标条件，是本章“评标办法”的组成部分，是对第二章“投标人须知”和本章正文部分所规定的废标条件的总结和补充。</w:t>
      </w:r>
    </w:p>
    <w:p w14:paraId="690C785F">
      <w:pPr>
        <w:shd w:val="clear"/>
        <w:spacing w:line="480" w:lineRule="exact"/>
        <w:jc w:val="left"/>
        <w:rPr>
          <w:rFonts w:ascii="宋体" w:hAnsi="宋体"/>
          <w:color w:val="000000"/>
          <w:szCs w:val="21"/>
          <w:highlight w:val="none"/>
        </w:rPr>
      </w:pPr>
      <w:r>
        <w:rPr>
          <w:rFonts w:hint="eastAsia" w:ascii="宋体" w:hAnsi="宋体"/>
          <w:color w:val="000000"/>
          <w:szCs w:val="21"/>
          <w:highlight w:val="none"/>
        </w:rPr>
        <w:t xml:space="preserve">B1.废标条件 </w:t>
      </w:r>
    </w:p>
    <w:p w14:paraId="1E813AD0">
      <w:pPr>
        <w:shd w:val="clear"/>
        <w:spacing w:line="480" w:lineRule="exact"/>
        <w:jc w:val="left"/>
        <w:rPr>
          <w:rFonts w:ascii="宋体" w:hAnsi="宋体"/>
          <w:color w:val="000000"/>
          <w:szCs w:val="21"/>
          <w:highlight w:val="none"/>
        </w:rPr>
      </w:pPr>
      <w:r>
        <w:rPr>
          <w:rFonts w:hint="eastAsia" w:ascii="宋体" w:hAnsi="宋体"/>
          <w:color w:val="000000"/>
          <w:szCs w:val="21"/>
          <w:highlight w:val="none"/>
        </w:rPr>
        <w:t xml:space="preserve">    投标人或其投标文件有下列情形之一的，其投标作废标处理：</w:t>
      </w:r>
    </w:p>
    <w:p w14:paraId="72FA7BE8">
      <w:pPr>
        <w:shd w:val="clear"/>
        <w:spacing w:line="48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B1.1有第二章“投标人须知”第1.4.3项规定的任何一种情形的。</w:t>
      </w:r>
    </w:p>
    <w:p w14:paraId="61ADB921">
      <w:pPr>
        <w:shd w:val="clear"/>
        <w:spacing w:line="48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B1.2 有串通投标或弄虚作假或其他违法行为的，详见下款：</w:t>
      </w:r>
    </w:p>
    <w:p w14:paraId="49DCA468">
      <w:pPr>
        <w:shd w:val="clear"/>
        <w:spacing w:line="480" w:lineRule="exact"/>
        <w:ind w:firstLine="480" w:firstLineChars="200"/>
        <w:jc w:val="left"/>
        <w:rPr>
          <w:rFonts w:ascii="宋体" w:hAnsi="宋体"/>
          <w:bCs/>
          <w:color w:val="000000"/>
          <w:kern w:val="0"/>
          <w:szCs w:val="21"/>
          <w:highlight w:val="none"/>
        </w:rPr>
      </w:pPr>
      <w:r>
        <w:rPr>
          <w:rFonts w:hint="eastAsia" w:ascii="宋体" w:hAnsi="宋体"/>
          <w:bCs/>
          <w:color w:val="000000"/>
          <w:kern w:val="0"/>
          <w:szCs w:val="21"/>
          <w:highlight w:val="none"/>
        </w:rPr>
        <w:t>B1.2.1投标人之间协商投标报价等投标文件的实质性内容；</w:t>
      </w:r>
    </w:p>
    <w:p w14:paraId="6EB98BF9">
      <w:pPr>
        <w:shd w:val="clear"/>
        <w:spacing w:line="480" w:lineRule="exact"/>
        <w:ind w:firstLine="480" w:firstLineChars="200"/>
        <w:jc w:val="left"/>
        <w:rPr>
          <w:rFonts w:ascii="宋体" w:hAnsi="宋体"/>
          <w:bCs/>
          <w:color w:val="000000"/>
          <w:kern w:val="0"/>
          <w:szCs w:val="21"/>
          <w:highlight w:val="none"/>
        </w:rPr>
      </w:pPr>
      <w:r>
        <w:rPr>
          <w:rFonts w:hint="eastAsia" w:ascii="宋体" w:hAnsi="宋体"/>
          <w:bCs/>
          <w:color w:val="000000"/>
          <w:kern w:val="0"/>
          <w:szCs w:val="21"/>
          <w:highlight w:val="none"/>
        </w:rPr>
        <w:t>B1.2.2投标人之间约定中标人；</w:t>
      </w:r>
    </w:p>
    <w:p w14:paraId="66EE0A5B">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B1.2.3投标人之间约定部分投标人放弃投标或者中标；</w:t>
      </w:r>
    </w:p>
    <w:p w14:paraId="14AE8A9E">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B1.2.5投标人之间为谋取中标或者排斥特定投标人而采取的其他联合行动；</w:t>
      </w:r>
    </w:p>
    <w:p w14:paraId="15465968">
      <w:pPr>
        <w:shd w:val="clear"/>
        <w:autoSpaceDE w:val="0"/>
        <w:autoSpaceDN w:val="0"/>
        <w:spacing w:line="500" w:lineRule="exact"/>
        <w:ind w:firstLine="484" w:firstLineChars="202"/>
        <w:jc w:val="left"/>
        <w:rPr>
          <w:rFonts w:ascii="宋体" w:hAnsi="宋体"/>
          <w:bCs/>
          <w:color w:val="000000"/>
          <w:kern w:val="0"/>
          <w:szCs w:val="21"/>
          <w:highlight w:val="none"/>
        </w:rPr>
      </w:pPr>
      <w:r>
        <w:rPr>
          <w:rFonts w:hint="eastAsia" w:ascii="宋体" w:hAnsi="宋体"/>
          <w:bCs/>
          <w:color w:val="000000"/>
          <w:kern w:val="0"/>
          <w:szCs w:val="21"/>
          <w:highlight w:val="none"/>
        </w:rPr>
        <w:t>B1.2.6不同投标人的投标文件由同一单位或者个人编制；</w:t>
      </w:r>
    </w:p>
    <w:p w14:paraId="759B968A">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B1.2.7不同投标人委托同一单位或者个人办理投标事宜；</w:t>
      </w:r>
    </w:p>
    <w:p w14:paraId="6B8E7B0F">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B1.2.8不同投标人的投标文件载明的项目管理成员为同一人；</w:t>
      </w:r>
    </w:p>
    <w:p w14:paraId="505BD457">
      <w:pPr>
        <w:shd w:val="clear"/>
        <w:autoSpaceDE w:val="0"/>
        <w:autoSpaceDN w:val="0"/>
        <w:spacing w:line="500" w:lineRule="exact"/>
        <w:ind w:firstLine="360" w:firstLineChars="150"/>
        <w:jc w:val="left"/>
        <w:rPr>
          <w:rFonts w:ascii="宋体" w:hAnsi="宋体"/>
          <w:bCs/>
          <w:color w:val="000000"/>
          <w:kern w:val="0"/>
          <w:szCs w:val="21"/>
          <w:highlight w:val="none"/>
        </w:rPr>
      </w:pPr>
      <w:r>
        <w:rPr>
          <w:rFonts w:hint="eastAsia" w:ascii="宋体" w:hAnsi="宋体"/>
          <w:bCs/>
          <w:color w:val="000000"/>
          <w:kern w:val="0"/>
          <w:szCs w:val="21"/>
          <w:highlight w:val="none"/>
        </w:rPr>
        <w:t xml:space="preserve"> B1.2.9 不同投标人聘请同一个人为其投标提供技术或者经济咨询服务的，但招标工程本身要求采用专有技术的除外；</w:t>
      </w:r>
    </w:p>
    <w:p w14:paraId="29E6C799">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B1.2.10不同投标人的投标文件异常一致或者投标报价呈规律性差异；</w:t>
      </w:r>
    </w:p>
    <w:p w14:paraId="531F3D01">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B1.2.11不同投标人的投标文件错漏之处一致的；</w:t>
      </w:r>
    </w:p>
    <w:p w14:paraId="169A7DE6">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B1.2.12不同投标人的投标文件相互混装；</w:t>
      </w:r>
    </w:p>
    <w:p w14:paraId="282C8C73">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B1.2.13不同投标人的投标文件由同一台电脑编制或者同一台附属设备打印；</w:t>
      </w:r>
    </w:p>
    <w:p w14:paraId="48DBA41D">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B1.2.14不同投标人的投标保证金从同一单位或者个人的账户转出；</w:t>
      </w:r>
    </w:p>
    <w:p w14:paraId="315F7158">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B1.2.15不同投标人使用同一个人或者企业资金交纳投标保证金或者投标保函的反担保的；</w:t>
      </w:r>
    </w:p>
    <w:p w14:paraId="0369CEC1">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B1.2.16使用伪造、变造的许可证件；</w:t>
      </w:r>
    </w:p>
    <w:p w14:paraId="31F3E824">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B1.2.17提供虚假的财务状况或者业绩；</w:t>
      </w:r>
    </w:p>
    <w:p w14:paraId="36C664B0">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B1.2.18提供虚假的项目负责人或者主要技术人员简历、劳动关系证明；</w:t>
      </w:r>
    </w:p>
    <w:p w14:paraId="063C5BA3">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B1.2.19提供虚假的信用状况；</w:t>
      </w:r>
    </w:p>
    <w:p w14:paraId="4EBA3A5B">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B1.2.20其他弄虚作假的行为；</w:t>
      </w:r>
    </w:p>
    <w:p w14:paraId="02BEC89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B1.2.21招标人在开标前开启投标文件并将有关信息泄露给其他投标人；</w:t>
      </w:r>
    </w:p>
    <w:p w14:paraId="63B1B1D8">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B1.2.22招标人直接或者间接向投标人泄露标底、评标委员会成员等信息；</w:t>
      </w:r>
    </w:p>
    <w:p w14:paraId="4B713D0C">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B1.2.23招标人明示或者暗示投标人压低或者抬高投标报价；</w:t>
      </w:r>
    </w:p>
    <w:p w14:paraId="7CEFF609">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B1.2.24招标人授意投标人撤换、修改投标文件；</w:t>
      </w:r>
    </w:p>
    <w:p w14:paraId="5735708A">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B1.2.25招标人明示或者暗示投标人为特定投标人中标提供方便；</w:t>
      </w:r>
    </w:p>
    <w:p w14:paraId="088BB37F">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B1.2.26招标人与投标人为谋求特定投标人中标而采取的其他串通行为；</w:t>
      </w:r>
    </w:p>
    <w:p w14:paraId="0424CCC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B1.2.27评标委员会认定的其他串通投标情形；</w:t>
      </w:r>
    </w:p>
    <w:p w14:paraId="03F867FE">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B1.3不按评标委员会要求澄清、说明或补正的。</w:t>
      </w:r>
    </w:p>
    <w:p w14:paraId="287C624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B1.4在形式评审、资格评审（适用于未进行资格预审的）、响应性评审中，评标委员会认定投标人的投标文件不符合评标办法前附表中规定的任何一项评审标准的。</w:t>
      </w:r>
    </w:p>
    <w:p w14:paraId="78303ED3">
      <w:pPr>
        <w:shd w:val="clear"/>
        <w:autoSpaceDE w:val="0"/>
        <w:autoSpaceDN w:val="0"/>
        <w:spacing w:line="500" w:lineRule="exact"/>
        <w:ind w:firstLine="360"/>
        <w:jc w:val="left"/>
        <w:rPr>
          <w:rFonts w:ascii="宋体" w:hAnsi="宋体"/>
          <w:bCs/>
          <w:color w:val="000000"/>
          <w:kern w:val="0"/>
          <w:szCs w:val="21"/>
          <w:highlight w:val="none"/>
        </w:rPr>
      </w:pPr>
      <w:r>
        <w:rPr>
          <w:rFonts w:ascii="宋体" w:hAnsi="宋体"/>
          <w:bCs/>
          <w:color w:val="000000"/>
          <w:kern w:val="0"/>
          <w:szCs w:val="21"/>
          <w:highlight w:val="none"/>
        </w:rPr>
        <w:t>B1.6投标报价文件（投标函除外）未经有资格的</w:t>
      </w:r>
      <w:r>
        <w:rPr>
          <w:rFonts w:hint="eastAsia" w:ascii="宋体" w:hAnsi="宋体"/>
          <w:bCs/>
          <w:color w:val="000000"/>
          <w:kern w:val="0"/>
          <w:szCs w:val="21"/>
          <w:highlight w:val="none"/>
        </w:rPr>
        <w:t>注册</w:t>
      </w:r>
      <w:r>
        <w:rPr>
          <w:rFonts w:ascii="宋体" w:hAnsi="宋体"/>
          <w:bCs/>
          <w:color w:val="000000"/>
          <w:kern w:val="0"/>
          <w:szCs w:val="21"/>
          <w:highlight w:val="none"/>
        </w:rPr>
        <w:t>造价</w:t>
      </w:r>
      <w:r>
        <w:rPr>
          <w:rFonts w:hint="eastAsia" w:ascii="宋体" w:hAnsi="宋体"/>
          <w:bCs/>
          <w:color w:val="000000"/>
          <w:kern w:val="0"/>
          <w:szCs w:val="21"/>
          <w:highlight w:val="none"/>
        </w:rPr>
        <w:t>工程师</w:t>
      </w:r>
      <w:r>
        <w:rPr>
          <w:rFonts w:ascii="宋体" w:hAnsi="宋体"/>
          <w:bCs/>
          <w:color w:val="000000"/>
          <w:kern w:val="0"/>
          <w:szCs w:val="21"/>
          <w:highlight w:val="none"/>
        </w:rPr>
        <w:t>签字并加盖</w:t>
      </w:r>
      <w:r>
        <w:rPr>
          <w:rFonts w:hint="eastAsia" w:ascii="宋体" w:hAnsi="宋体"/>
          <w:bCs/>
          <w:color w:val="000000"/>
          <w:kern w:val="0"/>
          <w:szCs w:val="21"/>
          <w:highlight w:val="none"/>
        </w:rPr>
        <w:t>其</w:t>
      </w:r>
      <w:r>
        <w:rPr>
          <w:rFonts w:ascii="宋体" w:hAnsi="宋体"/>
          <w:bCs/>
          <w:color w:val="000000"/>
          <w:kern w:val="0"/>
          <w:szCs w:val="21"/>
          <w:highlight w:val="none"/>
        </w:rPr>
        <w:t>执业专用章的</w:t>
      </w:r>
      <w:r>
        <w:rPr>
          <w:rFonts w:hint="eastAsia" w:ascii="宋体" w:hAnsi="宋体"/>
          <w:bCs/>
          <w:color w:val="000000"/>
          <w:kern w:val="0"/>
          <w:szCs w:val="21"/>
          <w:highlight w:val="none"/>
        </w:rPr>
        <w:t>(盖章的注册造价工程师应是在本单位注册人员，或是投标人委托的造价咨询机构注册造价工程师并附委托合同)</w:t>
      </w:r>
      <w:r>
        <w:rPr>
          <w:rFonts w:ascii="宋体" w:hAnsi="宋体"/>
          <w:bCs/>
          <w:color w:val="000000"/>
          <w:kern w:val="0"/>
          <w:szCs w:val="21"/>
          <w:highlight w:val="none"/>
        </w:rPr>
        <w:t>。</w:t>
      </w:r>
    </w:p>
    <w:p w14:paraId="74ABB43E">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B1.7在技术标和资信标评审中，评标委员会认定投标人的投标未能通过此项评审的。</w:t>
      </w:r>
    </w:p>
    <w:p w14:paraId="44888565">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B1.8评标委员会认定投标人以低于成本报价竞标的。</w:t>
      </w:r>
    </w:p>
    <w:p w14:paraId="2D76056D">
      <w:pPr>
        <w:shd w:val="clear"/>
        <w:autoSpaceDE w:val="0"/>
        <w:autoSpaceDN w:val="0"/>
        <w:spacing w:line="500" w:lineRule="exact"/>
        <w:ind w:firstLine="360"/>
        <w:jc w:val="left"/>
        <w:rPr>
          <w:rFonts w:ascii="宋体" w:hAnsi="宋体"/>
          <w:bCs/>
          <w:color w:val="000000"/>
          <w:kern w:val="0"/>
          <w:szCs w:val="21"/>
          <w:highlight w:val="none"/>
        </w:rPr>
      </w:pPr>
      <w:r>
        <w:rPr>
          <w:rFonts w:hint="eastAsia" w:ascii="宋体" w:hAnsi="宋体"/>
          <w:bCs/>
          <w:color w:val="000000"/>
          <w:kern w:val="0"/>
          <w:szCs w:val="21"/>
          <w:highlight w:val="none"/>
        </w:rPr>
        <w:t>B1.9投标人未按第二章“投标人须知”第10.6款规定出席开标会的。</w:t>
      </w:r>
    </w:p>
    <w:p w14:paraId="0A0B3E98">
      <w:pPr>
        <w:pStyle w:val="56"/>
        <w:widowControl/>
        <w:shd w:val="clear"/>
        <w:spacing w:beforeLines="0" w:line="300" w:lineRule="auto"/>
        <w:ind w:left="1233" w:leftChars="514" w:firstLine="660" w:firstLineChars="150"/>
        <w:jc w:val="both"/>
        <w:rPr>
          <w:rFonts w:hint="eastAsia"/>
          <w:color w:val="000000"/>
          <w:kern w:val="0"/>
          <w:szCs w:val="21"/>
          <w:highlight w:val="none"/>
        </w:rPr>
      </w:pPr>
    </w:p>
    <w:p w14:paraId="104F226E">
      <w:pPr>
        <w:pStyle w:val="56"/>
        <w:widowControl/>
        <w:shd w:val="clear"/>
        <w:spacing w:beforeLines="0" w:line="300" w:lineRule="auto"/>
        <w:ind w:left="1233" w:leftChars="514" w:firstLine="660" w:firstLineChars="150"/>
        <w:jc w:val="both"/>
        <w:rPr>
          <w:rFonts w:hint="eastAsia"/>
          <w:color w:val="000000"/>
          <w:kern w:val="0"/>
          <w:szCs w:val="21"/>
          <w:highlight w:val="none"/>
        </w:rPr>
      </w:pPr>
    </w:p>
    <w:p w14:paraId="16FFE8B3">
      <w:pPr>
        <w:pStyle w:val="5"/>
        <w:shd w:val="clear"/>
        <w:jc w:val="center"/>
        <w:rPr>
          <w:highlight w:val="none"/>
        </w:rPr>
      </w:pPr>
      <w:r>
        <w:rPr>
          <w:rFonts w:hint="eastAsia"/>
          <w:color w:val="000000"/>
          <w:kern w:val="0"/>
          <w:szCs w:val="21"/>
          <w:highlight w:val="none"/>
        </w:rPr>
        <w:br w:type="page"/>
      </w:r>
      <w:bookmarkStart w:id="140" w:name="_Toc18792_WPSOffice_Level1"/>
      <w:bookmarkStart w:id="141" w:name="_Toc22717_WPSOffice_Level1"/>
      <w:r>
        <w:rPr>
          <w:rFonts w:hint="eastAsia" w:ascii="Times New Roman" w:hAnsi="Times New Roman" w:eastAsia="黑体" w:cs="Times New Roman"/>
          <w:b/>
          <w:bCs w:val="0"/>
          <w:color w:val="000000"/>
          <w:kern w:val="0"/>
          <w:sz w:val="44"/>
          <w:szCs w:val="21"/>
          <w:highlight w:val="none"/>
          <w:lang w:val="en-US" w:eastAsia="zh-CN" w:bidi="ar-SA"/>
        </w:rPr>
        <w:t>第四章</w:t>
      </w:r>
      <w:r>
        <w:rPr>
          <w:rFonts w:hint="eastAsia" w:ascii="Times New Roman" w:hAnsi="Times New Roman" w:cs="Times New Roman"/>
          <w:b/>
          <w:bCs w:val="0"/>
          <w:color w:val="000000"/>
          <w:kern w:val="0"/>
          <w:sz w:val="44"/>
          <w:szCs w:val="21"/>
          <w:highlight w:val="none"/>
          <w:lang w:val="en-US" w:eastAsia="zh-CN" w:bidi="ar-SA"/>
        </w:rPr>
        <w:t xml:space="preserve"> </w:t>
      </w:r>
      <w:r>
        <w:rPr>
          <w:rFonts w:hint="eastAsia" w:ascii="Times New Roman" w:hAnsi="Times New Roman" w:eastAsia="黑体" w:cs="Times New Roman"/>
          <w:b/>
          <w:bCs w:val="0"/>
          <w:color w:val="000000"/>
          <w:kern w:val="0"/>
          <w:sz w:val="44"/>
          <w:szCs w:val="21"/>
          <w:highlight w:val="none"/>
          <w:lang w:val="en-US" w:eastAsia="zh-CN" w:bidi="ar-SA"/>
        </w:rPr>
        <w:t>技术要求</w:t>
      </w:r>
      <w:bookmarkEnd w:id="140"/>
      <w:bookmarkEnd w:id="141"/>
    </w:p>
    <w:p w14:paraId="269615CD">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1、依据电机修理的行业标准、</w:t>
      </w:r>
      <w:r>
        <w:rPr>
          <w:rFonts w:hint="eastAsia" w:ascii="仿宋_GB2312" w:hAnsi="仿宋_GB2312" w:eastAsia="仿宋_GB2312" w:cs="仿宋_GB2312"/>
          <w:b w:val="0"/>
          <w:bCs w:val="0"/>
          <w:color w:val="000000"/>
          <w:sz w:val="28"/>
          <w:szCs w:val="28"/>
          <w:highlight w:val="none"/>
          <w:lang w:val="en-US" w:eastAsia="zh-CN"/>
        </w:rPr>
        <w:t>招标方</w:t>
      </w:r>
      <w:r>
        <w:rPr>
          <w:rFonts w:hint="eastAsia" w:ascii="仿宋_GB2312" w:hAnsi="仿宋_GB2312" w:eastAsia="仿宋_GB2312" w:cs="仿宋_GB2312"/>
          <w:b w:val="0"/>
          <w:bCs w:val="0"/>
          <w:color w:val="000000"/>
          <w:sz w:val="28"/>
          <w:szCs w:val="28"/>
          <w:highlight w:val="none"/>
        </w:rPr>
        <w:t>的技术</w:t>
      </w:r>
      <w:r>
        <w:rPr>
          <w:rFonts w:hint="eastAsia" w:ascii="仿宋_GB2312" w:hAnsi="仿宋_GB2312" w:eastAsia="仿宋_GB2312" w:cs="仿宋_GB2312"/>
          <w:b w:val="0"/>
          <w:bCs w:val="0"/>
          <w:color w:val="000000"/>
          <w:sz w:val="28"/>
          <w:szCs w:val="28"/>
          <w:highlight w:val="none"/>
          <w:lang w:val="en-US" w:eastAsia="zh-CN"/>
        </w:rPr>
        <w:t>要求</w:t>
      </w:r>
      <w:r>
        <w:rPr>
          <w:rFonts w:hint="eastAsia" w:ascii="仿宋_GB2312" w:hAnsi="仿宋_GB2312" w:eastAsia="仿宋_GB2312" w:cs="仿宋_GB2312"/>
          <w:b w:val="0"/>
          <w:bCs w:val="0"/>
          <w:color w:val="000000"/>
          <w:sz w:val="28"/>
          <w:szCs w:val="28"/>
          <w:highlight w:val="none"/>
        </w:rPr>
        <w:t>，保证质量、按期完成电机修理工程</w:t>
      </w:r>
      <w:r>
        <w:rPr>
          <w:rFonts w:hint="eastAsia" w:ascii="仿宋_GB2312" w:hAnsi="仿宋_GB2312" w:eastAsia="仿宋_GB2312" w:cs="仿宋_GB2312"/>
          <w:b w:val="0"/>
          <w:bCs w:val="0"/>
          <w:color w:val="000000"/>
          <w:sz w:val="28"/>
          <w:szCs w:val="28"/>
          <w:highlight w:val="none"/>
          <w:lang w:eastAsia="zh-CN"/>
        </w:rPr>
        <w:t>。</w:t>
      </w:r>
    </w:p>
    <w:p w14:paraId="0DAA172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2、接到电机修理通知后，及时到</w:t>
      </w:r>
      <w:r>
        <w:rPr>
          <w:rFonts w:hint="eastAsia" w:ascii="仿宋_GB2312" w:hAnsi="仿宋_GB2312" w:eastAsia="仿宋_GB2312" w:cs="仿宋_GB2312"/>
          <w:b w:val="0"/>
          <w:bCs w:val="0"/>
          <w:color w:val="000000"/>
          <w:sz w:val="28"/>
          <w:szCs w:val="28"/>
          <w:highlight w:val="none"/>
          <w:lang w:eastAsia="zh-CN"/>
        </w:rPr>
        <w:t>招标人</w:t>
      </w:r>
      <w:r>
        <w:rPr>
          <w:rFonts w:hint="eastAsia" w:ascii="仿宋_GB2312" w:hAnsi="仿宋_GB2312" w:eastAsia="仿宋_GB2312" w:cs="仿宋_GB2312"/>
          <w:b w:val="0"/>
          <w:bCs w:val="0"/>
          <w:color w:val="000000"/>
          <w:sz w:val="28"/>
          <w:szCs w:val="28"/>
          <w:highlight w:val="none"/>
        </w:rPr>
        <w:t>电机安装或指定地点将电机拉走，</w:t>
      </w:r>
      <w:r>
        <w:rPr>
          <w:rFonts w:hint="eastAsia" w:ascii="仿宋_GB2312" w:hAnsi="仿宋_GB2312" w:eastAsia="仿宋_GB2312" w:cs="仿宋_GB2312"/>
          <w:color w:val="000000"/>
          <w:sz w:val="28"/>
          <w:szCs w:val="28"/>
          <w:highlight w:val="none"/>
        </w:rPr>
        <w:t>修理完毕后</w:t>
      </w:r>
      <w:r>
        <w:rPr>
          <w:rFonts w:hint="eastAsia" w:ascii="仿宋_GB2312" w:hAnsi="仿宋_GB2312" w:eastAsia="仿宋_GB2312" w:cs="仿宋_GB2312"/>
          <w:color w:val="000000"/>
          <w:sz w:val="28"/>
          <w:szCs w:val="28"/>
          <w:highlight w:val="none"/>
          <w:lang w:val="en-US" w:eastAsia="zh-CN"/>
        </w:rPr>
        <w:t>悬挂维修时间标牌</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及时送至指定的电机安装或存放地点</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同时提供维修试验报告</w:t>
      </w:r>
      <w:r>
        <w:rPr>
          <w:rFonts w:hint="eastAsia" w:ascii="仿宋_GB2312" w:hAnsi="仿宋_GB2312" w:eastAsia="仿宋_GB2312" w:cs="仿宋_GB2312"/>
          <w:b w:val="0"/>
          <w:bCs w:val="0"/>
          <w:color w:val="000000"/>
          <w:sz w:val="28"/>
          <w:szCs w:val="28"/>
          <w:highlight w:val="none"/>
          <w:lang w:eastAsia="zh-CN"/>
        </w:rPr>
        <w:t>。</w:t>
      </w:r>
    </w:p>
    <w:p w14:paraId="3D138EDF">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3、电机维修应在5日内完成，如遇</w:t>
      </w:r>
      <w:r>
        <w:rPr>
          <w:rFonts w:hint="eastAsia" w:ascii="仿宋_GB2312" w:hAnsi="仿宋_GB2312" w:eastAsia="仿宋_GB2312" w:cs="仿宋_GB2312"/>
          <w:b w:val="0"/>
          <w:bCs w:val="0"/>
          <w:color w:val="000000"/>
          <w:sz w:val="28"/>
          <w:szCs w:val="28"/>
          <w:highlight w:val="none"/>
          <w:lang w:eastAsia="zh-CN"/>
        </w:rPr>
        <w:t>招标人</w:t>
      </w:r>
      <w:r>
        <w:rPr>
          <w:rFonts w:hint="eastAsia" w:ascii="仿宋_GB2312" w:hAnsi="仿宋_GB2312" w:eastAsia="仿宋_GB2312" w:cs="仿宋_GB2312"/>
          <w:b w:val="0"/>
          <w:bCs w:val="0"/>
          <w:color w:val="000000"/>
          <w:sz w:val="28"/>
          <w:szCs w:val="28"/>
          <w:highlight w:val="none"/>
        </w:rPr>
        <w:t>紧急抢修时，应保证24小时不间断维修，尽早完成维修工作</w:t>
      </w:r>
      <w:r>
        <w:rPr>
          <w:rFonts w:hint="eastAsia" w:ascii="仿宋_GB2312" w:hAnsi="仿宋_GB2312" w:eastAsia="仿宋_GB2312" w:cs="仿宋_GB2312"/>
          <w:b w:val="0"/>
          <w:bCs w:val="0"/>
          <w:color w:val="000000"/>
          <w:sz w:val="28"/>
          <w:szCs w:val="28"/>
          <w:highlight w:val="none"/>
          <w:lang w:eastAsia="zh-CN"/>
        </w:rPr>
        <w:t>。</w:t>
      </w:r>
    </w:p>
    <w:p w14:paraId="73089B21">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4、在更换定子线圈时，线圈应为铜质线圈，材料满足国家技术标准，</w:t>
      </w:r>
      <w:r>
        <w:rPr>
          <w:rFonts w:hint="eastAsia" w:ascii="仿宋_GB2312" w:hAnsi="仿宋_GB2312" w:eastAsia="仿宋_GB2312" w:cs="仿宋_GB2312"/>
          <w:b w:val="0"/>
          <w:bCs w:val="0"/>
          <w:color w:val="000000"/>
          <w:sz w:val="28"/>
          <w:szCs w:val="28"/>
          <w:highlight w:val="none"/>
          <w:lang w:eastAsia="zh-CN"/>
        </w:rPr>
        <w:t>投标人</w:t>
      </w:r>
      <w:r>
        <w:rPr>
          <w:rFonts w:hint="eastAsia" w:ascii="仿宋_GB2312" w:hAnsi="仿宋_GB2312" w:eastAsia="仿宋_GB2312" w:cs="仿宋_GB2312"/>
          <w:b w:val="0"/>
          <w:bCs w:val="0"/>
          <w:color w:val="000000"/>
          <w:sz w:val="28"/>
          <w:szCs w:val="28"/>
          <w:highlight w:val="none"/>
        </w:rPr>
        <w:t>对线圈的匝间、相间、对地绝缘试验必须按电机线圈所要求的国家行业标准等级进行试验，以确保线圈下线后的质量要求，不得随意更改原装线圈线径的尺寸，电机所用的材料应属国家正品生产厂出品的合格产品；</w:t>
      </w:r>
      <w:r>
        <w:rPr>
          <w:rFonts w:hint="eastAsia" w:ascii="仿宋_GB2312" w:hAnsi="仿宋_GB2312" w:eastAsia="仿宋_GB2312" w:cs="仿宋_GB2312"/>
          <w:b w:val="0"/>
          <w:bCs w:val="0"/>
          <w:color w:val="000000"/>
          <w:sz w:val="28"/>
          <w:szCs w:val="28"/>
          <w:highlight w:val="none"/>
          <w:lang w:val="zh-CN"/>
        </w:rPr>
        <w:t>轴承选用斯凯孚品牌轴承。</w:t>
      </w:r>
    </w:p>
    <w:p w14:paraId="2CDBC0C0">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5、潜水泵电机的检修包括电机的检修、更换防护等级IP68及以上的密封（密封性必须达到原厂家出厂要求）。考虑到外接电缆时的密封防水要求，潜水泵电机在修理时，必须包括将电机引线用足够功率的引线引出电缆</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长度不低于设备自身长度的2倍</w:t>
      </w:r>
      <w:r>
        <w:rPr>
          <w:rFonts w:hint="eastAsia" w:ascii="仿宋_GB2312" w:hAnsi="仿宋_GB2312" w:eastAsia="仿宋_GB2312" w:cs="仿宋_GB2312"/>
          <w:b w:val="0"/>
          <w:bCs w:val="0"/>
          <w:color w:val="000000"/>
          <w:sz w:val="28"/>
          <w:szCs w:val="28"/>
          <w:highlight w:val="none"/>
          <w:lang w:eastAsia="zh-CN"/>
        </w:rPr>
        <w:t>。</w:t>
      </w:r>
    </w:p>
    <w:p w14:paraId="406E6F74">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rPr>
        <w:t>6、电机、潜水泵修理后，设备外壳必须清理如新</w:t>
      </w:r>
      <w:r>
        <w:rPr>
          <w:rFonts w:hint="eastAsia" w:ascii="仿宋_GB2312" w:hAnsi="仿宋_GB2312" w:eastAsia="仿宋_GB2312" w:cs="仿宋_GB2312"/>
          <w:b w:val="0"/>
          <w:bCs w:val="0"/>
          <w:color w:val="000000"/>
          <w:sz w:val="28"/>
          <w:szCs w:val="28"/>
          <w:highlight w:val="none"/>
          <w:lang w:val="en-US" w:eastAsia="zh-CN"/>
        </w:rPr>
        <w:t>或重新喷漆</w:t>
      </w:r>
      <w:r>
        <w:rPr>
          <w:rFonts w:hint="eastAsia" w:ascii="仿宋_GB2312" w:hAnsi="仿宋_GB2312" w:eastAsia="仿宋_GB2312" w:cs="仿宋_GB2312"/>
          <w:b w:val="0"/>
          <w:bCs w:val="0"/>
          <w:color w:val="000000"/>
          <w:sz w:val="28"/>
          <w:szCs w:val="28"/>
          <w:highlight w:val="none"/>
          <w:lang w:eastAsia="zh-CN"/>
        </w:rPr>
        <w:t>。</w:t>
      </w:r>
    </w:p>
    <w:p w14:paraId="22750E1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val="en-US" w:eastAsia="zh-CN"/>
        </w:rPr>
        <w:t>7</w:t>
      </w:r>
      <w:r>
        <w:rPr>
          <w:rFonts w:hint="eastAsia" w:ascii="仿宋_GB2312" w:hAnsi="仿宋_GB2312" w:eastAsia="仿宋_GB2312" w:cs="仿宋_GB2312"/>
          <w:b w:val="0"/>
          <w:bCs w:val="0"/>
          <w:color w:val="000000"/>
          <w:sz w:val="28"/>
          <w:szCs w:val="28"/>
          <w:highlight w:val="none"/>
        </w:rPr>
        <w:t>、电机维修后绝缘等级及防护等级应同原铭牌保持一致，经过静态试验测试合格，电机温升符合国家标准，空载电流不大于厂家出厂技术标准</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并提供试验检测报告</w:t>
      </w:r>
      <w:r>
        <w:rPr>
          <w:rFonts w:hint="eastAsia" w:ascii="仿宋_GB2312" w:hAnsi="仿宋_GB2312" w:eastAsia="仿宋_GB2312" w:cs="仿宋_GB2312"/>
          <w:b w:val="0"/>
          <w:bCs w:val="0"/>
          <w:color w:val="000000"/>
          <w:sz w:val="28"/>
          <w:szCs w:val="28"/>
          <w:highlight w:val="none"/>
          <w:lang w:eastAsia="zh-CN"/>
        </w:rPr>
        <w:t>。</w:t>
      </w:r>
    </w:p>
    <w:p w14:paraId="7D1A09FC">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8</w:t>
      </w:r>
      <w:r>
        <w:rPr>
          <w:rFonts w:hint="eastAsia" w:ascii="仿宋_GB2312" w:hAnsi="仿宋_GB2312" w:eastAsia="仿宋_GB2312" w:cs="仿宋_GB2312"/>
          <w:b w:val="0"/>
          <w:bCs w:val="0"/>
          <w:color w:val="000000"/>
          <w:sz w:val="28"/>
          <w:szCs w:val="28"/>
          <w:highlight w:val="none"/>
        </w:rPr>
        <w:t>、2</w:t>
      </w: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val="0"/>
          <w:bCs w:val="0"/>
          <w:color w:val="000000"/>
          <w:sz w:val="28"/>
          <w:szCs w:val="28"/>
          <w:highlight w:val="none"/>
        </w:rPr>
        <w:t>kW及以上电机质保期为九个月，2</w:t>
      </w: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val="0"/>
          <w:bCs w:val="0"/>
          <w:color w:val="000000"/>
          <w:sz w:val="28"/>
          <w:szCs w:val="28"/>
          <w:highlight w:val="none"/>
        </w:rPr>
        <w:t>kW以下电机质保期为六个月，在质保期内发生由于检修质量问题造成电机损坏的，由</w:t>
      </w:r>
      <w:r>
        <w:rPr>
          <w:rFonts w:hint="eastAsia" w:ascii="仿宋_GB2312" w:hAnsi="仿宋_GB2312" w:eastAsia="仿宋_GB2312" w:cs="仿宋_GB2312"/>
          <w:b w:val="0"/>
          <w:bCs w:val="0"/>
          <w:color w:val="000000"/>
          <w:sz w:val="28"/>
          <w:szCs w:val="28"/>
          <w:highlight w:val="none"/>
          <w:lang w:eastAsia="zh-CN"/>
        </w:rPr>
        <w:t>投标人</w:t>
      </w:r>
      <w:r>
        <w:rPr>
          <w:rFonts w:hint="eastAsia" w:ascii="仿宋_GB2312" w:hAnsi="仿宋_GB2312" w:eastAsia="仿宋_GB2312" w:cs="仿宋_GB2312"/>
          <w:b w:val="0"/>
          <w:bCs w:val="0"/>
          <w:color w:val="000000"/>
          <w:sz w:val="28"/>
          <w:szCs w:val="28"/>
          <w:highlight w:val="none"/>
        </w:rPr>
        <w:t>负责免费重新修理。</w:t>
      </w:r>
    </w:p>
    <w:p w14:paraId="2B0571E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br w:type="page"/>
      </w:r>
    </w:p>
    <w:p w14:paraId="64F6E16D">
      <w:pPr>
        <w:shd w:val="clear"/>
        <w:rPr>
          <w:rFonts w:hint="eastAsia"/>
          <w:color w:val="000000"/>
          <w:kern w:val="0"/>
          <w:szCs w:val="21"/>
          <w:highlight w:val="none"/>
        </w:rPr>
      </w:pPr>
    </w:p>
    <w:p w14:paraId="2A8BECD8">
      <w:pPr>
        <w:pStyle w:val="56"/>
        <w:widowControl/>
        <w:shd w:val="clear"/>
        <w:spacing w:beforeLines="0" w:line="300" w:lineRule="auto"/>
        <w:ind w:left="1233" w:leftChars="514" w:firstLine="660" w:firstLineChars="150"/>
        <w:jc w:val="both"/>
        <w:rPr>
          <w:color w:val="000000"/>
          <w:highlight w:val="none"/>
        </w:rPr>
      </w:pPr>
      <w:bookmarkStart w:id="142" w:name="_Toc31044_WPSOffice_Level1"/>
      <w:bookmarkStart w:id="143" w:name="_Toc386_WPSOffice_Level1"/>
      <w:r>
        <w:rPr>
          <w:rFonts w:hint="eastAsia"/>
          <w:color w:val="000000"/>
          <w:kern w:val="0"/>
          <w:szCs w:val="21"/>
          <w:highlight w:val="none"/>
        </w:rPr>
        <w:t>第</w:t>
      </w:r>
      <w:r>
        <w:rPr>
          <w:rFonts w:hint="eastAsia"/>
          <w:color w:val="000000"/>
          <w:kern w:val="0"/>
          <w:szCs w:val="21"/>
          <w:highlight w:val="none"/>
          <w:lang w:val="en-US" w:eastAsia="zh-CN"/>
        </w:rPr>
        <w:t>五</w:t>
      </w:r>
      <w:r>
        <w:rPr>
          <w:rFonts w:hint="eastAsia"/>
          <w:color w:val="000000"/>
          <w:kern w:val="0"/>
          <w:szCs w:val="21"/>
          <w:highlight w:val="none"/>
        </w:rPr>
        <w:t>章</w:t>
      </w:r>
      <w:r>
        <w:rPr>
          <w:color w:val="000000"/>
          <w:highlight w:val="none"/>
        </w:rPr>
        <w:t xml:space="preserve">  </w:t>
      </w:r>
      <w:r>
        <w:rPr>
          <w:rFonts w:hint="eastAsia"/>
          <w:color w:val="000000"/>
          <w:highlight w:val="none"/>
        </w:rPr>
        <w:t>合同条款及格式</w:t>
      </w:r>
      <w:bookmarkEnd w:id="142"/>
      <w:bookmarkEnd w:id="143"/>
    </w:p>
    <w:p w14:paraId="6E628E9E">
      <w:pPr>
        <w:shd w:val="clear"/>
        <w:spacing w:line="300" w:lineRule="auto"/>
        <w:rPr>
          <w:rFonts w:ascii="Times New Roman" w:hAnsi="Times New Roman" w:eastAsia="仿宋_GB2312"/>
          <w:color w:val="000000"/>
          <w:highlight w:val="none"/>
        </w:rPr>
      </w:pPr>
      <w:r>
        <w:rPr>
          <w:rFonts w:ascii="Times New Roman" w:hAnsi="Times New Roman" w:eastAsia="仿宋_GB2312"/>
          <w:color w:val="000000"/>
          <w:highlight w:val="none"/>
        </w:rPr>
        <w:tab/>
      </w:r>
    </w:p>
    <w:p w14:paraId="4439F0F4">
      <w:pPr>
        <w:shd w:val="clear"/>
        <w:tabs>
          <w:tab w:val="left" w:pos="1176"/>
        </w:tabs>
        <w:spacing w:line="360" w:lineRule="auto"/>
        <w:jc w:val="both"/>
        <w:rPr>
          <w:rFonts w:cs="仿宋"/>
          <w:sz w:val="44"/>
          <w:szCs w:val="44"/>
          <w:highlight w:val="none"/>
        </w:rPr>
      </w:pPr>
    </w:p>
    <w:p w14:paraId="1EA400DD">
      <w:pPr>
        <w:widowControl/>
        <w:shd w:val="clear"/>
        <w:tabs>
          <w:tab w:val="left" w:pos="0"/>
          <w:tab w:val="center" w:pos="4500"/>
        </w:tabs>
        <w:spacing w:line="720" w:lineRule="auto"/>
        <w:jc w:val="left"/>
        <w:outlineLvl w:val="0"/>
        <w:rPr>
          <w:rFonts w:hint="eastAsia" w:ascii="仿宋_GB2312" w:hAnsi="仿宋_GB2312" w:eastAsia="仿宋_GB2312" w:cs="仿宋_GB2312"/>
          <w:b/>
          <w:spacing w:val="20"/>
          <w:sz w:val="28"/>
          <w:szCs w:val="28"/>
          <w:highlight w:val="none"/>
        </w:rPr>
      </w:pPr>
      <w:bookmarkStart w:id="144" w:name="_Toc508871745"/>
      <w:r>
        <w:rPr>
          <w:rFonts w:hint="eastAsia" w:ascii="仿宋_GB2312" w:hAnsi="仿宋_GB2312" w:eastAsia="仿宋_GB2312" w:cs="仿宋_GB2312"/>
          <w:b/>
          <w:spacing w:val="20"/>
          <w:sz w:val="28"/>
          <w:szCs w:val="28"/>
          <w:highlight w:val="none"/>
        </w:rPr>
        <w:t>合同编号：</w:t>
      </w:r>
    </w:p>
    <w:p w14:paraId="77E5E771">
      <w:pPr>
        <w:widowControl/>
        <w:shd w:val="clear"/>
        <w:tabs>
          <w:tab w:val="left" w:pos="0"/>
        </w:tabs>
        <w:spacing w:line="720" w:lineRule="auto"/>
        <w:jc w:val="left"/>
        <w:outlineLvl w:val="0"/>
        <w:rPr>
          <w:rFonts w:hint="eastAsia" w:ascii="仿宋_GB2312" w:hAnsi="仿宋_GB2312" w:eastAsia="仿宋_GB2312" w:cs="仿宋_GB2312"/>
          <w:b/>
          <w:spacing w:val="20"/>
          <w:sz w:val="44"/>
          <w:highlight w:val="none"/>
        </w:rPr>
      </w:pPr>
    </w:p>
    <w:p w14:paraId="0187DC85">
      <w:pPr>
        <w:shd w:val="clear"/>
        <w:jc w:val="center"/>
        <w:rPr>
          <w:rFonts w:hint="eastAsia" w:ascii="仿宋_GB2312" w:hAnsi="仿宋_GB2312" w:eastAsia="仿宋_GB2312" w:cs="仿宋_GB2312"/>
          <w:b/>
          <w:bCs/>
          <w:sz w:val="48"/>
          <w:highlight w:val="none"/>
        </w:rPr>
      </w:pPr>
      <w:r>
        <w:rPr>
          <w:rFonts w:hint="eastAsia" w:ascii="仿宋_GB2312" w:hAnsi="仿宋_GB2312" w:eastAsia="仿宋_GB2312" w:cs="仿宋_GB2312"/>
          <w:b/>
          <w:bCs/>
          <w:spacing w:val="20"/>
          <w:sz w:val="44"/>
          <w:szCs w:val="44"/>
          <w:highlight w:val="none"/>
        </w:rPr>
        <w:t>山东济钢环保新材料有限公司</w:t>
      </w:r>
    </w:p>
    <w:p w14:paraId="099134AB">
      <w:pPr>
        <w:shd w:val="clear"/>
        <w:jc w:val="center"/>
        <w:rPr>
          <w:rFonts w:hint="eastAsia" w:ascii="仿宋_GB2312" w:hAnsi="仿宋_GB2312" w:eastAsia="仿宋_GB2312" w:cs="仿宋_GB2312"/>
          <w:b/>
          <w:bCs/>
          <w:sz w:val="48"/>
          <w:highlight w:val="none"/>
        </w:rPr>
      </w:pPr>
    </w:p>
    <w:p w14:paraId="234B0CB9">
      <w:pPr>
        <w:shd w:val="clear"/>
        <w:adjustRightInd w:val="0"/>
        <w:snapToGrid w:val="0"/>
        <w:spacing w:line="360" w:lineRule="auto"/>
        <w:jc w:val="center"/>
        <w:rPr>
          <w:rFonts w:hint="eastAsia" w:ascii="仿宋_GB2312" w:hAnsi="仿宋_GB2312" w:eastAsia="仿宋_GB2312" w:cs="仿宋_GB2312"/>
          <w:b/>
          <w:bCs/>
          <w:sz w:val="48"/>
          <w:highlight w:val="none"/>
        </w:rPr>
      </w:pPr>
      <w:r>
        <w:rPr>
          <w:rFonts w:hint="eastAsia" w:ascii="仿宋_GB2312" w:hAnsi="仿宋_GB2312" w:eastAsia="仿宋_GB2312" w:cs="仿宋_GB2312"/>
          <w:b/>
          <w:bCs/>
          <w:sz w:val="48"/>
          <w:highlight w:val="none"/>
          <w:lang w:val="en-US" w:eastAsia="zh-CN"/>
        </w:rPr>
        <w:t>*****</w:t>
      </w:r>
      <w:r>
        <w:rPr>
          <w:rFonts w:hint="eastAsia" w:ascii="仿宋_GB2312" w:hAnsi="仿宋_GB2312" w:eastAsia="仿宋_GB2312" w:cs="仿宋_GB2312"/>
          <w:b/>
          <w:bCs/>
          <w:sz w:val="48"/>
          <w:highlight w:val="none"/>
        </w:rPr>
        <w:t>低压电机及水泵维修保养承包合同</w:t>
      </w:r>
    </w:p>
    <w:p w14:paraId="07EFB7B5">
      <w:pPr>
        <w:shd w:val="clear"/>
        <w:adjustRightInd w:val="0"/>
        <w:snapToGrid w:val="0"/>
        <w:spacing w:line="360" w:lineRule="auto"/>
        <w:jc w:val="center"/>
        <w:rPr>
          <w:rFonts w:hint="eastAsia" w:ascii="仿宋_GB2312" w:hAnsi="仿宋_GB2312" w:eastAsia="仿宋_GB2312" w:cs="仿宋_GB2312"/>
          <w:b/>
          <w:bCs/>
          <w:sz w:val="48"/>
          <w:highlight w:val="none"/>
        </w:rPr>
      </w:pPr>
    </w:p>
    <w:p w14:paraId="3BF9F823">
      <w:pPr>
        <w:shd w:val="clear"/>
        <w:jc w:val="left"/>
        <w:rPr>
          <w:rFonts w:hint="eastAsia" w:ascii="仿宋_GB2312" w:hAnsi="仿宋_GB2312" w:eastAsia="仿宋_GB2312" w:cs="仿宋_GB2312"/>
          <w:b/>
          <w:sz w:val="36"/>
          <w:highlight w:val="none"/>
        </w:rPr>
      </w:pPr>
    </w:p>
    <w:p w14:paraId="740D0C53">
      <w:pPr>
        <w:shd w:val="clear"/>
        <w:jc w:val="left"/>
        <w:rPr>
          <w:rFonts w:hint="eastAsia" w:ascii="仿宋_GB2312" w:hAnsi="仿宋_GB2312" w:eastAsia="仿宋_GB2312" w:cs="仿宋_GB2312"/>
          <w:b/>
          <w:sz w:val="36"/>
          <w:highlight w:val="none"/>
        </w:rPr>
      </w:pPr>
    </w:p>
    <w:p w14:paraId="3A0E0AE7">
      <w:pPr>
        <w:shd w:val="clear"/>
        <w:jc w:val="left"/>
        <w:rPr>
          <w:rFonts w:hint="eastAsia" w:ascii="仿宋_GB2312" w:hAnsi="仿宋_GB2312" w:eastAsia="仿宋_GB2312" w:cs="仿宋_GB2312"/>
          <w:b/>
          <w:sz w:val="36"/>
          <w:highlight w:val="none"/>
        </w:rPr>
      </w:pPr>
    </w:p>
    <w:p w14:paraId="379CD7F9">
      <w:pPr>
        <w:shd w:val="clear"/>
        <w:jc w:val="left"/>
        <w:rPr>
          <w:rFonts w:hint="eastAsia" w:ascii="仿宋_GB2312" w:hAnsi="仿宋_GB2312" w:eastAsia="仿宋_GB2312" w:cs="仿宋_GB2312"/>
          <w:b/>
          <w:sz w:val="36"/>
          <w:highlight w:val="none"/>
        </w:rPr>
      </w:pPr>
    </w:p>
    <w:p w14:paraId="4C284CB5">
      <w:pPr>
        <w:shd w:val="clear"/>
        <w:jc w:val="left"/>
        <w:rPr>
          <w:rFonts w:hint="eastAsia" w:ascii="仿宋_GB2312" w:hAnsi="仿宋_GB2312" w:eastAsia="仿宋_GB2312" w:cs="仿宋_GB2312"/>
          <w:b/>
          <w:sz w:val="36"/>
          <w:highlight w:val="none"/>
        </w:rPr>
      </w:pPr>
    </w:p>
    <w:p w14:paraId="39308997">
      <w:pPr>
        <w:shd w:val="clear"/>
        <w:jc w:val="left"/>
        <w:rPr>
          <w:rFonts w:hint="eastAsia" w:ascii="仿宋_GB2312" w:hAnsi="仿宋_GB2312" w:eastAsia="仿宋_GB2312" w:cs="仿宋_GB2312"/>
          <w:b/>
          <w:sz w:val="36"/>
          <w:highlight w:val="none"/>
        </w:rPr>
      </w:pPr>
    </w:p>
    <w:tbl>
      <w:tblPr>
        <w:tblStyle w:val="46"/>
        <w:tblW w:w="0" w:type="auto"/>
        <w:jc w:val="center"/>
        <w:tblLayout w:type="fixed"/>
        <w:tblCellMar>
          <w:top w:w="0" w:type="dxa"/>
          <w:left w:w="108" w:type="dxa"/>
          <w:bottom w:w="0" w:type="dxa"/>
          <w:right w:w="108" w:type="dxa"/>
        </w:tblCellMar>
      </w:tblPr>
      <w:tblGrid>
        <w:gridCol w:w="2325"/>
        <w:gridCol w:w="4857"/>
      </w:tblGrid>
      <w:tr w14:paraId="73CF8DC1">
        <w:tblPrEx>
          <w:tblCellMar>
            <w:top w:w="0" w:type="dxa"/>
            <w:left w:w="108" w:type="dxa"/>
            <w:bottom w:w="0" w:type="dxa"/>
            <w:right w:w="108" w:type="dxa"/>
          </w:tblCellMar>
        </w:tblPrEx>
        <w:trPr>
          <w:trHeight w:val="567" w:hRule="exact"/>
          <w:jc w:val="center"/>
        </w:trPr>
        <w:tc>
          <w:tcPr>
            <w:tcW w:w="2325" w:type="dxa"/>
            <w:noWrap w:val="0"/>
            <w:vAlign w:val="top"/>
          </w:tcPr>
          <w:p w14:paraId="566DA908">
            <w:pPr>
              <w:shd w:val="clear"/>
              <w:spacing w:line="48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甲 方：</w:t>
            </w:r>
          </w:p>
        </w:tc>
        <w:tc>
          <w:tcPr>
            <w:tcW w:w="4857" w:type="dxa"/>
            <w:noWrap w:val="0"/>
            <w:vAlign w:val="top"/>
          </w:tcPr>
          <w:p w14:paraId="211A8E0C">
            <w:pPr>
              <w:shd w:val="clear"/>
              <w:spacing w:line="48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山东济钢环保新材料有限公司</w:t>
            </w:r>
          </w:p>
        </w:tc>
      </w:tr>
      <w:tr w14:paraId="17B01B83">
        <w:tblPrEx>
          <w:tblCellMar>
            <w:top w:w="0" w:type="dxa"/>
            <w:left w:w="108" w:type="dxa"/>
            <w:bottom w:w="0" w:type="dxa"/>
            <w:right w:w="108" w:type="dxa"/>
          </w:tblCellMar>
        </w:tblPrEx>
        <w:trPr>
          <w:trHeight w:val="567" w:hRule="exact"/>
          <w:jc w:val="center"/>
        </w:trPr>
        <w:tc>
          <w:tcPr>
            <w:tcW w:w="2325" w:type="dxa"/>
            <w:noWrap w:val="0"/>
            <w:vAlign w:val="top"/>
          </w:tcPr>
          <w:p w14:paraId="3999DAC9">
            <w:pPr>
              <w:shd w:val="clear"/>
              <w:spacing w:line="48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乙 方：</w:t>
            </w:r>
          </w:p>
        </w:tc>
        <w:tc>
          <w:tcPr>
            <w:tcW w:w="4857" w:type="dxa"/>
            <w:noWrap w:val="0"/>
            <w:vAlign w:val="top"/>
          </w:tcPr>
          <w:p w14:paraId="13BF792F">
            <w:pPr>
              <w:shd w:val="clear"/>
              <w:spacing w:line="480" w:lineRule="auto"/>
              <w:rPr>
                <w:rFonts w:hint="eastAsia" w:ascii="仿宋_GB2312" w:hAnsi="仿宋_GB2312" w:eastAsia="仿宋_GB2312" w:cs="仿宋_GB2312"/>
                <w:b/>
                <w:sz w:val="28"/>
                <w:szCs w:val="28"/>
                <w:highlight w:val="none"/>
              </w:rPr>
            </w:pPr>
          </w:p>
        </w:tc>
      </w:tr>
    </w:tbl>
    <w:p w14:paraId="73106416">
      <w:pPr>
        <w:shd w:val="clear"/>
        <w:spacing w:line="480" w:lineRule="auto"/>
        <w:ind w:firstLine="963" w:firstLineChars="344"/>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签订地点：       济南市章丘区</w:t>
      </w:r>
    </w:p>
    <w:p w14:paraId="5944F254">
      <w:pPr>
        <w:shd w:val="clear"/>
        <w:spacing w:line="480" w:lineRule="auto"/>
        <w:jc w:val="center"/>
        <w:rPr>
          <w:rFonts w:hint="eastAsia" w:ascii="仿宋_GB2312" w:hAnsi="仿宋_GB2312" w:eastAsia="仿宋_GB2312" w:cs="仿宋_GB2312"/>
          <w:b/>
          <w:sz w:val="28"/>
          <w:szCs w:val="28"/>
          <w:highlight w:val="none"/>
        </w:rPr>
        <w:sectPr>
          <w:footerReference r:id="rId5" w:type="default"/>
          <w:pgSz w:w="11906" w:h="16838"/>
          <w:pgMar w:top="1440" w:right="1466" w:bottom="1440" w:left="1440" w:header="851" w:footer="992" w:gutter="0"/>
          <w:pgNumType w:fmt="decimal" w:start="1"/>
          <w:cols w:space="720" w:num="1"/>
          <w:docGrid w:type="linesAndChars" w:linePitch="312" w:charSpace="0"/>
        </w:sectPr>
      </w:pPr>
      <w:r>
        <w:rPr>
          <w:rFonts w:hint="eastAsia" w:ascii="仿宋_GB2312" w:hAnsi="仿宋_GB2312" w:eastAsia="仿宋_GB2312" w:cs="仿宋_GB2312"/>
          <w:b/>
          <w:sz w:val="28"/>
          <w:szCs w:val="28"/>
          <w:highlight w:val="none"/>
        </w:rPr>
        <w:t xml:space="preserve">   年  月  日                </w:t>
      </w:r>
    </w:p>
    <w:p w14:paraId="56968711">
      <w:pPr>
        <w:shd w:val="clear"/>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u w:val="single"/>
          <w:lang w:val="en-US" w:eastAsia="zh-CN"/>
        </w:rPr>
        <w:t>****</w:t>
      </w:r>
      <w:r>
        <w:rPr>
          <w:rFonts w:hint="eastAsia" w:ascii="仿宋_GB2312" w:hAnsi="仿宋_GB2312" w:eastAsia="仿宋_GB2312" w:cs="仿宋_GB2312"/>
          <w:b/>
          <w:bCs/>
          <w:sz w:val="36"/>
          <w:szCs w:val="36"/>
          <w:highlight w:val="none"/>
        </w:rPr>
        <w:t>低压电机维修保养承包合同</w:t>
      </w:r>
    </w:p>
    <w:p w14:paraId="2DB9E115">
      <w:pPr>
        <w:shd w:val="clear"/>
        <w:spacing w:line="420" w:lineRule="exact"/>
        <w:ind w:firstLine="560" w:firstLineChars="200"/>
        <w:rPr>
          <w:rFonts w:hint="eastAsia" w:ascii="仿宋_GB2312" w:eastAsia="仿宋_GB2312" w:cs="仿宋"/>
          <w:sz w:val="28"/>
          <w:szCs w:val="28"/>
          <w:highlight w:val="none"/>
        </w:rPr>
      </w:pPr>
    </w:p>
    <w:p w14:paraId="6F17B850">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山东济钢环保新材料有限公司低压电机维修保养项目，由乙方承包此项目，为确保如期保质保量完成本项目，依据《中华人民共和国民法典》、有关法律法规和规程，结合项目具体情况，为明确各自的义务和责任，经双方协商一致，同意订立本合同如下，以便共同恪守执行。</w:t>
      </w:r>
    </w:p>
    <w:p w14:paraId="464B502A">
      <w:pPr>
        <w:shd w:val="clear"/>
        <w:spacing w:line="400" w:lineRule="exact"/>
        <w:rPr>
          <w:rFonts w:hint="eastAsia" w:ascii="仿宋_GB2312" w:hAnsi="仿宋_GB2312" w:eastAsia="仿宋_GB2312" w:cs="仿宋_GB2312"/>
          <w:b/>
          <w:bCs/>
          <w:color w:val="000000"/>
          <w:sz w:val="24"/>
          <w:highlight w:val="none"/>
          <w:lang w:eastAsia="zh-CN"/>
        </w:rPr>
      </w:pPr>
      <w:r>
        <w:rPr>
          <w:rFonts w:hint="eastAsia" w:ascii="仿宋_GB2312" w:hAnsi="仿宋_GB2312" w:eastAsia="仿宋_GB2312" w:cs="仿宋_GB2312"/>
          <w:b/>
          <w:bCs/>
          <w:color w:val="000000"/>
          <w:sz w:val="24"/>
          <w:highlight w:val="none"/>
          <w:lang w:val="en-US" w:eastAsia="zh-CN"/>
        </w:rPr>
        <w:t>一</w:t>
      </w:r>
      <w:r>
        <w:rPr>
          <w:rFonts w:hint="eastAsia" w:ascii="仿宋_GB2312" w:hAnsi="仿宋_GB2312" w:eastAsia="仿宋_GB2312" w:cs="仿宋_GB2312"/>
          <w:b/>
          <w:bCs/>
          <w:color w:val="000000"/>
          <w:sz w:val="24"/>
          <w:highlight w:val="none"/>
        </w:rPr>
        <w:t>、</w:t>
      </w:r>
      <w:r>
        <w:rPr>
          <w:rFonts w:hint="eastAsia" w:ascii="仿宋_GB2312" w:hAnsi="仿宋_GB2312" w:eastAsia="仿宋_GB2312" w:cs="仿宋_GB2312"/>
          <w:b/>
          <w:bCs/>
          <w:color w:val="000000"/>
          <w:sz w:val="24"/>
          <w:highlight w:val="none"/>
          <w:lang w:val="en-US" w:eastAsia="zh-CN"/>
        </w:rPr>
        <w:t>合同范围、</w:t>
      </w:r>
      <w:r>
        <w:rPr>
          <w:rFonts w:hint="eastAsia" w:ascii="仿宋_GB2312" w:hAnsi="仿宋_GB2312" w:eastAsia="仿宋_GB2312" w:cs="仿宋_GB2312"/>
          <w:b/>
          <w:bCs/>
          <w:color w:val="000000"/>
          <w:sz w:val="24"/>
          <w:highlight w:val="none"/>
        </w:rPr>
        <w:t>价格及交付期限</w:t>
      </w:r>
      <w:r>
        <w:rPr>
          <w:rFonts w:hint="eastAsia" w:ascii="仿宋_GB2312" w:hAnsi="仿宋_GB2312" w:eastAsia="仿宋_GB2312" w:cs="仿宋_GB2312"/>
          <w:b/>
          <w:bCs/>
          <w:color w:val="000000"/>
          <w:sz w:val="24"/>
          <w:highlight w:val="none"/>
          <w:lang w:eastAsia="zh-CN"/>
        </w:rPr>
        <w:t>。</w:t>
      </w:r>
    </w:p>
    <w:p w14:paraId="1046A6E9">
      <w:pPr>
        <w:shd w:val="clear"/>
        <w:spacing w:line="400" w:lineRule="exact"/>
        <w:ind w:firstLine="560" w:firstLineChars="200"/>
        <w:rPr>
          <w:rFonts w:hint="eastAsia" w:ascii="仿宋_GB2312" w:hAnsi="仿宋_GB2312" w:eastAsia="仿宋_GB2312" w:cs="仿宋_GB2312"/>
          <w:color w:val="000000"/>
          <w:sz w:val="28"/>
          <w:szCs w:val="28"/>
          <w:highlight w:val="none"/>
        </w:rPr>
      </w:pPr>
      <w:bookmarkStart w:id="145" w:name="_Toc507025404"/>
      <w:bookmarkStart w:id="146" w:name="_Toc521503304"/>
      <w:r>
        <w:rPr>
          <w:rFonts w:hint="eastAsia" w:ascii="仿宋_GB2312" w:hAnsi="仿宋_GB2312" w:eastAsia="仿宋_GB2312" w:cs="仿宋_GB2312"/>
          <w:color w:val="000000"/>
          <w:sz w:val="28"/>
          <w:szCs w:val="28"/>
          <w:highlight w:val="none"/>
        </w:rPr>
        <w:t>1</w:t>
      </w:r>
      <w:bookmarkEnd w:id="145"/>
      <w:bookmarkEnd w:id="146"/>
      <w:r>
        <w:rPr>
          <w:rFonts w:hint="eastAsia" w:ascii="仿宋_GB2312" w:hAnsi="仿宋_GB2312" w:eastAsia="仿宋_GB2312" w:cs="仿宋_GB2312"/>
          <w:color w:val="000000"/>
          <w:sz w:val="28"/>
          <w:szCs w:val="28"/>
          <w:highlight w:val="none"/>
        </w:rPr>
        <w:t>.</w:t>
      </w:r>
      <w:bookmarkStart w:id="147" w:name="_Toc507025405"/>
      <w:bookmarkStart w:id="148" w:name="_Toc521503305"/>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lang w:val="zh-CN"/>
        </w:rPr>
        <w:t>年低压电机</w:t>
      </w:r>
      <w:r>
        <w:rPr>
          <w:rFonts w:hint="eastAsia" w:ascii="仿宋_GB2312" w:hAnsi="仿宋_GB2312" w:eastAsia="仿宋_GB2312" w:cs="仿宋_GB2312"/>
          <w:color w:val="000000"/>
          <w:sz w:val="28"/>
          <w:szCs w:val="28"/>
          <w:highlight w:val="none"/>
        </w:rPr>
        <w:t>及水泵</w:t>
      </w:r>
      <w:r>
        <w:rPr>
          <w:rFonts w:hint="eastAsia" w:ascii="仿宋_GB2312" w:hAnsi="仿宋_GB2312" w:eastAsia="仿宋_GB2312" w:cs="仿宋_GB2312"/>
          <w:color w:val="000000"/>
          <w:sz w:val="28"/>
          <w:szCs w:val="28"/>
          <w:highlight w:val="none"/>
          <w:lang w:val="zh-CN"/>
        </w:rPr>
        <w:t>维修保养</w:t>
      </w:r>
      <w:r>
        <w:rPr>
          <w:rFonts w:hint="eastAsia" w:ascii="仿宋_GB2312" w:hAnsi="仿宋_GB2312" w:eastAsia="仿宋_GB2312" w:cs="仿宋_GB2312"/>
          <w:color w:val="000000"/>
          <w:sz w:val="28"/>
          <w:szCs w:val="28"/>
          <w:highlight w:val="none"/>
        </w:rPr>
        <w:t>内容</w:t>
      </w:r>
    </w:p>
    <w:tbl>
      <w:tblPr>
        <w:tblStyle w:val="46"/>
        <w:tblpPr w:leftFromText="180" w:rightFromText="180" w:vertAnchor="text" w:horzAnchor="page" w:tblpXSpec="center" w:tblpY="299"/>
        <w:tblOverlap w:val="never"/>
        <w:tblW w:w="9775" w:type="dxa"/>
        <w:jc w:val="center"/>
        <w:tblLayout w:type="fixed"/>
        <w:tblCellMar>
          <w:top w:w="0" w:type="dxa"/>
          <w:left w:w="108" w:type="dxa"/>
          <w:bottom w:w="0" w:type="dxa"/>
          <w:right w:w="108" w:type="dxa"/>
        </w:tblCellMar>
      </w:tblPr>
      <w:tblGrid>
        <w:gridCol w:w="793"/>
        <w:gridCol w:w="752"/>
        <w:gridCol w:w="2405"/>
        <w:gridCol w:w="835"/>
        <w:gridCol w:w="974"/>
        <w:gridCol w:w="974"/>
        <w:gridCol w:w="1125"/>
        <w:gridCol w:w="1917"/>
      </w:tblGrid>
      <w:tr w14:paraId="5676C88E">
        <w:tblPrEx>
          <w:tblCellMar>
            <w:top w:w="0" w:type="dxa"/>
            <w:left w:w="108" w:type="dxa"/>
            <w:bottom w:w="0" w:type="dxa"/>
            <w:right w:w="108" w:type="dxa"/>
          </w:tblCellMar>
        </w:tblPrEx>
        <w:trPr>
          <w:trHeight w:val="59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13CAD2FA">
            <w:pPr>
              <w:shd w:val="clear"/>
              <w:jc w:val="center"/>
              <w:rPr>
                <w:b/>
                <w:bCs/>
                <w:color w:val="000000"/>
                <w:highlight w:val="none"/>
              </w:rPr>
            </w:pPr>
            <w:r>
              <w:rPr>
                <w:rFonts w:hint="eastAsia"/>
                <w:b/>
                <w:bCs/>
                <w:color w:val="000000"/>
                <w:highlight w:val="none"/>
              </w:rPr>
              <w:t>种类</w:t>
            </w:r>
          </w:p>
        </w:tc>
        <w:tc>
          <w:tcPr>
            <w:tcW w:w="752" w:type="dxa"/>
            <w:tcBorders>
              <w:top w:val="single" w:color="auto" w:sz="4" w:space="0"/>
              <w:left w:val="single" w:color="auto" w:sz="4" w:space="0"/>
              <w:bottom w:val="single" w:color="auto" w:sz="4" w:space="0"/>
              <w:right w:val="single" w:color="auto" w:sz="4" w:space="0"/>
            </w:tcBorders>
            <w:noWrap/>
            <w:vAlign w:val="center"/>
          </w:tcPr>
          <w:p w14:paraId="0D374A80">
            <w:pPr>
              <w:shd w:val="clear"/>
              <w:jc w:val="center"/>
              <w:rPr>
                <w:b/>
                <w:bCs/>
                <w:color w:val="000000"/>
                <w:highlight w:val="none"/>
              </w:rPr>
            </w:pPr>
            <w:r>
              <w:rPr>
                <w:rFonts w:hint="eastAsia"/>
                <w:b/>
                <w:bCs/>
                <w:color w:val="000000"/>
                <w:highlight w:val="none"/>
              </w:rPr>
              <w:t>序号</w:t>
            </w:r>
          </w:p>
        </w:tc>
        <w:tc>
          <w:tcPr>
            <w:tcW w:w="2405" w:type="dxa"/>
            <w:tcBorders>
              <w:top w:val="single" w:color="auto" w:sz="4" w:space="0"/>
              <w:left w:val="nil"/>
              <w:bottom w:val="single" w:color="auto" w:sz="4" w:space="0"/>
              <w:right w:val="single" w:color="auto" w:sz="4" w:space="0"/>
            </w:tcBorders>
            <w:noWrap/>
            <w:vAlign w:val="center"/>
          </w:tcPr>
          <w:p w14:paraId="55D37A86">
            <w:pPr>
              <w:shd w:val="clear"/>
              <w:jc w:val="center"/>
              <w:rPr>
                <w:b/>
                <w:bCs/>
                <w:color w:val="000000"/>
                <w:highlight w:val="none"/>
              </w:rPr>
            </w:pPr>
            <w:r>
              <w:rPr>
                <w:rFonts w:hint="eastAsia"/>
                <w:b/>
                <w:bCs/>
                <w:color w:val="000000"/>
                <w:highlight w:val="none"/>
              </w:rPr>
              <w:t>维修保养项目名称</w:t>
            </w:r>
          </w:p>
        </w:tc>
        <w:tc>
          <w:tcPr>
            <w:tcW w:w="835" w:type="dxa"/>
            <w:tcBorders>
              <w:top w:val="single" w:color="auto" w:sz="4" w:space="0"/>
              <w:left w:val="nil"/>
              <w:bottom w:val="single" w:color="auto" w:sz="4" w:space="0"/>
              <w:right w:val="single" w:color="auto" w:sz="4" w:space="0"/>
            </w:tcBorders>
            <w:noWrap/>
            <w:vAlign w:val="center"/>
          </w:tcPr>
          <w:p w14:paraId="1C912EB5">
            <w:pPr>
              <w:shd w:val="clear"/>
              <w:jc w:val="center"/>
              <w:rPr>
                <w:b/>
                <w:bCs/>
                <w:color w:val="000000"/>
                <w:highlight w:val="none"/>
              </w:rPr>
            </w:pPr>
            <w:r>
              <w:rPr>
                <w:rFonts w:hint="eastAsia"/>
                <w:b/>
                <w:bCs/>
                <w:color w:val="000000"/>
                <w:highlight w:val="none"/>
              </w:rPr>
              <w:t>工程量</w:t>
            </w:r>
          </w:p>
        </w:tc>
        <w:tc>
          <w:tcPr>
            <w:tcW w:w="974" w:type="dxa"/>
            <w:tcBorders>
              <w:top w:val="single" w:color="auto" w:sz="4" w:space="0"/>
              <w:left w:val="nil"/>
              <w:bottom w:val="single" w:color="auto" w:sz="4" w:space="0"/>
              <w:right w:val="single" w:color="auto" w:sz="4" w:space="0"/>
            </w:tcBorders>
            <w:noWrap/>
            <w:vAlign w:val="center"/>
          </w:tcPr>
          <w:p w14:paraId="01B4A69D">
            <w:pPr>
              <w:shd w:val="clear"/>
              <w:jc w:val="center"/>
              <w:rPr>
                <w:b/>
                <w:bCs/>
                <w:color w:val="000000"/>
                <w:highlight w:val="none"/>
              </w:rPr>
            </w:pPr>
            <w:r>
              <w:rPr>
                <w:rFonts w:hint="eastAsia"/>
                <w:b/>
                <w:bCs/>
                <w:color w:val="000000"/>
                <w:highlight w:val="none"/>
              </w:rPr>
              <w:t>单位</w:t>
            </w:r>
          </w:p>
        </w:tc>
        <w:tc>
          <w:tcPr>
            <w:tcW w:w="974" w:type="dxa"/>
            <w:tcBorders>
              <w:top w:val="single" w:color="auto" w:sz="4" w:space="0"/>
              <w:left w:val="nil"/>
              <w:bottom w:val="single" w:color="auto" w:sz="4" w:space="0"/>
              <w:right w:val="single" w:color="auto" w:sz="4" w:space="0"/>
            </w:tcBorders>
            <w:noWrap/>
            <w:vAlign w:val="center"/>
          </w:tcPr>
          <w:p w14:paraId="1BAAA17A">
            <w:pPr>
              <w:shd w:val="clear"/>
              <w:jc w:val="center"/>
              <w:rPr>
                <w:b/>
                <w:bCs/>
                <w:color w:val="000000"/>
                <w:highlight w:val="none"/>
              </w:rPr>
            </w:pPr>
            <w:r>
              <w:rPr>
                <w:rFonts w:hint="eastAsia"/>
                <w:b/>
                <w:bCs/>
                <w:color w:val="000000"/>
                <w:highlight w:val="none"/>
              </w:rPr>
              <w:t>单价</w:t>
            </w:r>
          </w:p>
        </w:tc>
        <w:tc>
          <w:tcPr>
            <w:tcW w:w="1125" w:type="dxa"/>
            <w:tcBorders>
              <w:top w:val="single" w:color="auto" w:sz="4" w:space="0"/>
              <w:left w:val="nil"/>
              <w:bottom w:val="single" w:color="auto" w:sz="4" w:space="0"/>
              <w:right w:val="single" w:color="auto" w:sz="4" w:space="0"/>
            </w:tcBorders>
            <w:noWrap/>
            <w:vAlign w:val="center"/>
          </w:tcPr>
          <w:p w14:paraId="11DECD37">
            <w:pPr>
              <w:shd w:val="clear"/>
              <w:jc w:val="center"/>
              <w:rPr>
                <w:b/>
                <w:bCs/>
                <w:color w:val="000000"/>
                <w:highlight w:val="none"/>
              </w:rPr>
            </w:pPr>
            <w:r>
              <w:rPr>
                <w:rFonts w:hint="eastAsia"/>
                <w:b/>
                <w:bCs/>
                <w:color w:val="000000"/>
                <w:highlight w:val="none"/>
              </w:rPr>
              <w:t>单项合计</w:t>
            </w:r>
          </w:p>
        </w:tc>
        <w:tc>
          <w:tcPr>
            <w:tcW w:w="1917" w:type="dxa"/>
            <w:tcBorders>
              <w:top w:val="single" w:color="auto" w:sz="4" w:space="0"/>
              <w:left w:val="nil"/>
              <w:bottom w:val="single" w:color="auto" w:sz="4" w:space="0"/>
              <w:right w:val="single" w:color="auto" w:sz="4" w:space="0"/>
            </w:tcBorders>
            <w:noWrap/>
            <w:vAlign w:val="center"/>
          </w:tcPr>
          <w:p w14:paraId="5265FE7C">
            <w:pPr>
              <w:shd w:val="clear"/>
              <w:jc w:val="center"/>
              <w:rPr>
                <w:b/>
                <w:bCs/>
                <w:color w:val="000000"/>
                <w:highlight w:val="none"/>
              </w:rPr>
            </w:pPr>
            <w:r>
              <w:rPr>
                <w:rFonts w:hint="eastAsia"/>
                <w:b/>
                <w:bCs/>
                <w:color w:val="000000"/>
                <w:highlight w:val="none"/>
              </w:rPr>
              <w:t>交付期限</w:t>
            </w:r>
          </w:p>
        </w:tc>
      </w:tr>
      <w:tr w14:paraId="0A8DC144">
        <w:tblPrEx>
          <w:tblCellMar>
            <w:top w:w="0" w:type="dxa"/>
            <w:left w:w="108" w:type="dxa"/>
            <w:bottom w:w="0" w:type="dxa"/>
            <w:right w:w="108" w:type="dxa"/>
          </w:tblCellMar>
        </w:tblPrEx>
        <w:trPr>
          <w:trHeight w:val="553"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4090760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A596EB0">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7212FC44">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492362B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5812ED9">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477611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4F5DB4C">
            <w:pPr>
              <w:shd w:val="clear"/>
              <w:jc w:val="center"/>
              <w:rPr>
                <w:color w:val="000000"/>
                <w:highlight w:val="none"/>
              </w:rPr>
            </w:pPr>
          </w:p>
        </w:tc>
        <w:tc>
          <w:tcPr>
            <w:tcW w:w="1917" w:type="dxa"/>
            <w:vMerge w:val="restart"/>
            <w:tcBorders>
              <w:top w:val="single" w:color="auto" w:sz="4" w:space="0"/>
              <w:left w:val="single" w:color="auto" w:sz="4" w:space="0"/>
              <w:right w:val="single" w:color="auto" w:sz="4" w:space="0"/>
            </w:tcBorders>
            <w:noWrap/>
            <w:vAlign w:val="center"/>
          </w:tcPr>
          <w:p w14:paraId="15B75F60">
            <w:pPr>
              <w:widowControl/>
              <w:shd w:val="clear"/>
              <w:spacing w:line="442"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出厂维修、保养交付期限：</w:t>
            </w:r>
          </w:p>
          <w:p w14:paraId="49901C95">
            <w:pPr>
              <w:widowControl/>
              <w:shd w:val="clear"/>
              <w:spacing w:line="442"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1.出厂维修：往返时间不大于</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天</w:t>
            </w:r>
          </w:p>
          <w:p w14:paraId="357C0509">
            <w:pPr>
              <w:shd w:val="clear"/>
              <w:jc w:val="left"/>
              <w:rPr>
                <w:color w:val="000000"/>
                <w:highlight w:val="none"/>
              </w:rPr>
            </w:pPr>
            <w:r>
              <w:rPr>
                <w:rFonts w:hint="eastAsia" w:ascii="宋体" w:hAnsi="宋体" w:eastAsia="宋体" w:cs="宋体"/>
                <w:sz w:val="24"/>
                <w:szCs w:val="24"/>
                <w:highlight w:val="none"/>
              </w:rPr>
              <w:t>2.出厂保养：不大于</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天</w:t>
            </w:r>
          </w:p>
        </w:tc>
      </w:tr>
      <w:tr w14:paraId="1FB2DD5C">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16CCCFF3">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6D570C8">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20D40CFD">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656718E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7FE22D7">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9055B8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3E7C950">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4EC958">
            <w:pPr>
              <w:shd w:val="clear"/>
              <w:jc w:val="center"/>
              <w:rPr>
                <w:color w:val="000000"/>
                <w:highlight w:val="none"/>
              </w:rPr>
            </w:pPr>
          </w:p>
        </w:tc>
      </w:tr>
      <w:tr w14:paraId="625A149D">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0A3086F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6AECFBE">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637B2AFB">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4BFBD9B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7061EA7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73EC64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C49745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2901C05">
            <w:pPr>
              <w:shd w:val="clear"/>
              <w:jc w:val="center"/>
              <w:rPr>
                <w:color w:val="000000"/>
                <w:highlight w:val="none"/>
              </w:rPr>
            </w:pPr>
          </w:p>
        </w:tc>
      </w:tr>
      <w:tr w14:paraId="1799FCA7">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417F3AD8">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1F29566">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0320D062">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3F8F2BDA">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DB3F2C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975639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7A0582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12E654A">
            <w:pPr>
              <w:shd w:val="clear"/>
              <w:jc w:val="center"/>
              <w:rPr>
                <w:color w:val="000000"/>
                <w:highlight w:val="none"/>
              </w:rPr>
            </w:pPr>
          </w:p>
        </w:tc>
      </w:tr>
      <w:tr w14:paraId="7A6990D1">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3D17C10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D1F190E">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1EDC92A1">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7C773F3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C9DDA22">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1491DC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0F7A94A">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1BE05A9">
            <w:pPr>
              <w:shd w:val="clear"/>
              <w:jc w:val="center"/>
              <w:rPr>
                <w:color w:val="000000"/>
                <w:highlight w:val="none"/>
              </w:rPr>
            </w:pPr>
          </w:p>
        </w:tc>
      </w:tr>
      <w:tr w14:paraId="3871F3D3">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518819AA">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31EA6BC">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356A35D3">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19F6993F">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6EACF07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802544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103211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FFE9F97">
            <w:pPr>
              <w:shd w:val="clear"/>
              <w:jc w:val="center"/>
              <w:rPr>
                <w:color w:val="000000"/>
                <w:highlight w:val="none"/>
              </w:rPr>
            </w:pPr>
          </w:p>
        </w:tc>
      </w:tr>
      <w:tr w14:paraId="60FBADD8">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ADCDB9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AE60BE2">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119B3B34">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35BAA0ED">
            <w:pPr>
              <w:shd w:val="clear"/>
              <w:jc w:val="center"/>
              <w:rPr>
                <w:color w:val="000000"/>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33F9788">
            <w:pPr>
              <w:shd w:val="clear"/>
              <w:jc w:val="center"/>
              <w:rPr>
                <w:color w:val="000000"/>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17658B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668568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BCC9682">
            <w:pPr>
              <w:shd w:val="clear"/>
              <w:jc w:val="center"/>
              <w:rPr>
                <w:color w:val="000000"/>
                <w:highlight w:val="none"/>
              </w:rPr>
            </w:pPr>
          </w:p>
        </w:tc>
      </w:tr>
      <w:tr w14:paraId="2062C3AF">
        <w:tblPrEx>
          <w:tblCellMar>
            <w:top w:w="0" w:type="dxa"/>
            <w:left w:w="108" w:type="dxa"/>
            <w:bottom w:w="0" w:type="dxa"/>
            <w:right w:w="108" w:type="dxa"/>
          </w:tblCellMar>
        </w:tblPrEx>
        <w:trPr>
          <w:trHeight w:val="553"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46A4A92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4EA74B86">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4D792D40">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6F5A4712">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1CB5A31">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95A805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50F0E3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A588D5A">
            <w:pPr>
              <w:shd w:val="clear"/>
              <w:jc w:val="center"/>
              <w:rPr>
                <w:color w:val="000000"/>
                <w:highlight w:val="none"/>
              </w:rPr>
            </w:pPr>
          </w:p>
        </w:tc>
      </w:tr>
      <w:tr w14:paraId="259E962E">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56B55C4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87B3C08">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041A8901">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51F7136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05690BC">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253533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B9563A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5622019">
            <w:pPr>
              <w:shd w:val="clear"/>
              <w:jc w:val="center"/>
              <w:rPr>
                <w:color w:val="000000"/>
                <w:highlight w:val="none"/>
              </w:rPr>
            </w:pPr>
          </w:p>
        </w:tc>
      </w:tr>
      <w:tr w14:paraId="15ABF6E7">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57F71D1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2185298">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5DBF5E6E">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24F53B26">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528A51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5029EE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B10FE8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6C13717">
            <w:pPr>
              <w:shd w:val="clear"/>
              <w:jc w:val="center"/>
              <w:rPr>
                <w:color w:val="000000"/>
                <w:highlight w:val="none"/>
              </w:rPr>
            </w:pPr>
          </w:p>
        </w:tc>
      </w:tr>
      <w:tr w14:paraId="5F3C70BD">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236698E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D1EDB9D">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31A428A7">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43D3116B">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B3AFD78">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74BEFDF">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E67ED2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CC1714F">
            <w:pPr>
              <w:shd w:val="clear"/>
              <w:jc w:val="center"/>
              <w:rPr>
                <w:color w:val="000000"/>
                <w:highlight w:val="none"/>
              </w:rPr>
            </w:pPr>
          </w:p>
        </w:tc>
      </w:tr>
      <w:tr w14:paraId="10C86170">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0255116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7692F40">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79F2C548">
            <w:pPr>
              <w:shd w:val="clear"/>
              <w:jc w:val="center"/>
              <w:rPr>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08A0F573">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6126A744">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155A6F2">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34997D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DE07FE0">
            <w:pPr>
              <w:shd w:val="clear"/>
              <w:jc w:val="center"/>
              <w:rPr>
                <w:color w:val="000000"/>
                <w:highlight w:val="none"/>
              </w:rPr>
            </w:pPr>
          </w:p>
        </w:tc>
      </w:tr>
      <w:tr w14:paraId="6B049176">
        <w:tblPrEx>
          <w:tblCellMar>
            <w:top w:w="0" w:type="dxa"/>
            <w:left w:w="108" w:type="dxa"/>
            <w:bottom w:w="0" w:type="dxa"/>
            <w:right w:w="108" w:type="dxa"/>
          </w:tblCellMar>
        </w:tblPrEx>
        <w:trPr>
          <w:trHeight w:val="28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1F2EEE7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3C835D4">
            <w:pPr>
              <w:shd w:val="clear"/>
              <w:jc w:val="center"/>
              <w:rPr>
                <w:color w:val="000000"/>
                <w:highlight w:val="none"/>
              </w:rPr>
            </w:pPr>
          </w:p>
        </w:tc>
        <w:tc>
          <w:tcPr>
            <w:tcW w:w="2405" w:type="dxa"/>
            <w:tcBorders>
              <w:top w:val="nil"/>
              <w:left w:val="nil"/>
              <w:bottom w:val="single" w:color="auto" w:sz="4" w:space="0"/>
              <w:right w:val="single" w:color="auto" w:sz="4" w:space="0"/>
            </w:tcBorders>
            <w:noWrap/>
            <w:vAlign w:val="center"/>
          </w:tcPr>
          <w:p w14:paraId="79FCF67B">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3174E340">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0D4D119">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759E51B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06ECF8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9F562E5">
            <w:pPr>
              <w:shd w:val="clear"/>
              <w:jc w:val="center"/>
              <w:rPr>
                <w:color w:val="000000"/>
                <w:highlight w:val="none"/>
              </w:rPr>
            </w:pPr>
          </w:p>
        </w:tc>
      </w:tr>
      <w:tr w14:paraId="6F406BFE">
        <w:tblPrEx>
          <w:tblCellMar>
            <w:top w:w="0" w:type="dxa"/>
            <w:left w:w="108" w:type="dxa"/>
            <w:bottom w:w="0" w:type="dxa"/>
            <w:right w:w="108" w:type="dxa"/>
          </w:tblCellMar>
        </w:tblPrEx>
        <w:trPr>
          <w:trHeight w:val="307"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top"/>
          </w:tcPr>
          <w:p w14:paraId="7D48E581">
            <w:pPr>
              <w:shd w:val="clear"/>
              <w:jc w:val="center"/>
              <w:rPr>
                <w:color w:val="000000"/>
                <w:highlight w:val="none"/>
              </w:rPr>
            </w:pPr>
          </w:p>
        </w:tc>
        <w:tc>
          <w:tcPr>
            <w:tcW w:w="752" w:type="dxa"/>
            <w:tcBorders>
              <w:top w:val="nil"/>
              <w:left w:val="single" w:color="auto" w:sz="4" w:space="0"/>
              <w:bottom w:val="nil"/>
              <w:right w:val="single" w:color="auto" w:sz="4" w:space="0"/>
            </w:tcBorders>
            <w:noWrap/>
            <w:vAlign w:val="center"/>
          </w:tcPr>
          <w:p w14:paraId="5C7BC85B">
            <w:pPr>
              <w:shd w:val="clear"/>
              <w:jc w:val="center"/>
              <w:rPr>
                <w:color w:val="000000"/>
                <w:highlight w:val="none"/>
              </w:rPr>
            </w:pPr>
          </w:p>
        </w:tc>
        <w:tc>
          <w:tcPr>
            <w:tcW w:w="2405" w:type="dxa"/>
            <w:tcBorders>
              <w:top w:val="nil"/>
              <w:left w:val="nil"/>
              <w:bottom w:val="nil"/>
              <w:right w:val="single" w:color="auto" w:sz="4" w:space="0"/>
            </w:tcBorders>
            <w:noWrap/>
            <w:vAlign w:val="center"/>
          </w:tcPr>
          <w:p w14:paraId="7F959A4A">
            <w:pPr>
              <w:shd w:val="clear"/>
              <w:jc w:val="center"/>
              <w:rPr>
                <w:color w:val="000000"/>
                <w:highlight w:val="none"/>
              </w:rPr>
            </w:pPr>
          </w:p>
        </w:tc>
        <w:tc>
          <w:tcPr>
            <w:tcW w:w="835" w:type="dxa"/>
            <w:tcBorders>
              <w:top w:val="single" w:color="auto" w:sz="4" w:space="0"/>
              <w:left w:val="single" w:color="auto" w:sz="4" w:space="0"/>
              <w:bottom w:val="single" w:color="auto" w:sz="4" w:space="0"/>
              <w:right w:val="single" w:color="auto" w:sz="4" w:space="0"/>
            </w:tcBorders>
            <w:noWrap/>
            <w:vAlign w:val="center"/>
          </w:tcPr>
          <w:p w14:paraId="00E76D7E">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26A5EDD">
            <w:pPr>
              <w:shd w:val="clear"/>
              <w:jc w:val="center"/>
              <w:rPr>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8ED48B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F966231">
            <w:pPr>
              <w:shd w:val="clear"/>
              <w:jc w:val="center"/>
              <w:rPr>
                <w:color w:val="000000"/>
                <w:highlight w:val="none"/>
              </w:rPr>
            </w:pPr>
          </w:p>
        </w:tc>
        <w:tc>
          <w:tcPr>
            <w:tcW w:w="1917" w:type="dxa"/>
            <w:vMerge w:val="continue"/>
            <w:tcBorders>
              <w:left w:val="single" w:color="auto" w:sz="4" w:space="0"/>
              <w:bottom w:val="single" w:color="auto" w:sz="4" w:space="0"/>
              <w:right w:val="single" w:color="auto" w:sz="4" w:space="0"/>
            </w:tcBorders>
            <w:noWrap/>
            <w:vAlign w:val="center"/>
          </w:tcPr>
          <w:p w14:paraId="3914E6AD">
            <w:pPr>
              <w:shd w:val="clear"/>
              <w:jc w:val="center"/>
              <w:rPr>
                <w:color w:val="000000"/>
                <w:highlight w:val="none"/>
              </w:rPr>
            </w:pPr>
          </w:p>
        </w:tc>
      </w:tr>
      <w:tr w14:paraId="5A740651">
        <w:tblPrEx>
          <w:tblCellMar>
            <w:top w:w="0" w:type="dxa"/>
            <w:left w:w="108" w:type="dxa"/>
            <w:bottom w:w="0" w:type="dxa"/>
            <w:right w:w="108" w:type="dxa"/>
          </w:tblCellMar>
        </w:tblPrEx>
        <w:trPr>
          <w:trHeight w:val="307" w:hRule="atLeast"/>
          <w:jc w:val="center"/>
        </w:trPr>
        <w:tc>
          <w:tcPr>
            <w:tcW w:w="9775" w:type="dxa"/>
            <w:gridSpan w:val="8"/>
            <w:tcBorders>
              <w:top w:val="single" w:color="auto" w:sz="4" w:space="0"/>
              <w:left w:val="single" w:color="auto" w:sz="4" w:space="0"/>
              <w:bottom w:val="single" w:color="auto" w:sz="4" w:space="0"/>
              <w:right w:val="single" w:color="auto" w:sz="4" w:space="0"/>
            </w:tcBorders>
            <w:noWrap/>
            <w:vAlign w:val="top"/>
          </w:tcPr>
          <w:p w14:paraId="0E5A14C3">
            <w:pPr>
              <w:shd w:val="clear"/>
              <w:spacing w:line="420" w:lineRule="exact"/>
              <w:ind w:firstLine="480" w:firstLineChars="200"/>
              <w:rPr>
                <w:rFonts w:hint="eastAsia" w:ascii="仿宋_GB2312" w:eastAsia="仿宋_GB2312" w:cs="仿宋"/>
                <w:sz w:val="28"/>
                <w:szCs w:val="28"/>
                <w:highlight w:val="none"/>
              </w:rPr>
            </w:pPr>
            <w:r>
              <w:rPr>
                <w:rFonts w:hint="eastAsia" w:ascii="宋体" w:hAnsi="宋体" w:cs="宋体"/>
                <w:color w:val="000000"/>
                <w:sz w:val="24"/>
                <w:highlight w:val="none"/>
              </w:rPr>
              <w:t>合计人民币金额(大写)：     （含</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%增值税</w:t>
            </w:r>
            <w:r>
              <w:rPr>
                <w:rFonts w:hint="eastAsia" w:ascii="宋体" w:hAnsi="宋体" w:cs="宋体"/>
                <w:b/>
                <w:bCs/>
                <w:color w:val="000000"/>
                <w:sz w:val="24"/>
                <w:highlight w:val="none"/>
              </w:rPr>
              <w:t>¥</w:t>
            </w:r>
            <w:r>
              <w:rPr>
                <w:rFonts w:hint="eastAsia" w:ascii="宋体" w:hAnsi="宋体" w:cs="宋体"/>
                <w:color w:val="000000"/>
                <w:sz w:val="24"/>
                <w:highlight w:val="none"/>
              </w:rPr>
              <w:t xml:space="preserve">      ）</w:t>
            </w:r>
            <w:r>
              <w:rPr>
                <w:rFonts w:hint="eastAsia" w:ascii="仿宋_GB2312" w:eastAsia="仿宋_GB2312" w:cs="仿宋"/>
                <w:sz w:val="28"/>
                <w:szCs w:val="28"/>
                <w:highlight w:val="none"/>
              </w:rPr>
              <w:t>价格包括材料费、</w:t>
            </w:r>
            <w:r>
              <w:rPr>
                <w:rFonts w:hint="eastAsia" w:ascii="仿宋_GB2312" w:eastAsia="仿宋_GB2312" w:cs="仿宋"/>
                <w:sz w:val="28"/>
                <w:szCs w:val="28"/>
                <w:highlight w:val="none"/>
                <w:lang w:val="en-US" w:eastAsia="zh-CN"/>
              </w:rPr>
              <w:t>运费、</w:t>
            </w:r>
            <w:r>
              <w:rPr>
                <w:rFonts w:hint="eastAsia" w:ascii="仿宋_GB2312" w:eastAsia="仿宋_GB2312" w:cs="仿宋"/>
                <w:sz w:val="28"/>
                <w:szCs w:val="28"/>
                <w:highlight w:val="none"/>
              </w:rPr>
              <w:t>设备费、人工费、税金和服务等费用。</w:t>
            </w:r>
          </w:p>
          <w:p w14:paraId="0B995EDF">
            <w:pPr>
              <w:shd w:val="clear"/>
              <w:jc w:val="center"/>
              <w:rPr>
                <w:color w:val="000000"/>
                <w:highlight w:val="none"/>
              </w:rPr>
            </w:pPr>
          </w:p>
        </w:tc>
      </w:tr>
    </w:tbl>
    <w:p w14:paraId="4FF64773">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val="zh-CN"/>
        </w:rPr>
        <w:t>、以上为预估工程量</w:t>
      </w:r>
      <w:r>
        <w:rPr>
          <w:rFonts w:hint="eastAsia" w:ascii="仿宋_GB2312" w:hAnsi="仿宋_GB2312" w:eastAsia="仿宋_GB2312" w:cs="仿宋_GB2312"/>
          <w:color w:val="000000"/>
          <w:sz w:val="28"/>
          <w:szCs w:val="28"/>
          <w:highlight w:val="none"/>
        </w:rPr>
        <w:t>，合同总额为本合同结算上限</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本合同履行过程中价格不受市场价格波动的影响</w:t>
      </w:r>
      <w:r>
        <w:rPr>
          <w:rFonts w:hint="eastAsia" w:ascii="仿宋_GB2312" w:hAnsi="仿宋_GB2312" w:eastAsia="仿宋_GB2312" w:cs="仿宋_GB2312"/>
          <w:color w:val="000000"/>
          <w:sz w:val="28"/>
          <w:szCs w:val="28"/>
          <w:highlight w:val="none"/>
          <w:lang w:eastAsia="zh-CN"/>
        </w:rPr>
        <w:t>，</w:t>
      </w:r>
      <w:r>
        <w:rPr>
          <w:rFonts w:hint="eastAsia" w:ascii="仿宋_GB2312" w:eastAsia="仿宋_GB2312" w:cs="仿宋"/>
          <w:sz w:val="28"/>
          <w:szCs w:val="28"/>
          <w:highlight w:val="none"/>
        </w:rPr>
        <w:t>实际结算以双方共同验收的实际数量乘以本合同单价为准</w:t>
      </w:r>
      <w:r>
        <w:rPr>
          <w:rFonts w:hint="eastAsia" w:ascii="仿宋_GB2312" w:hAnsi="仿宋_GB2312" w:eastAsia="仿宋_GB2312" w:cs="仿宋_GB2312"/>
          <w:color w:val="000000"/>
          <w:sz w:val="28"/>
          <w:szCs w:val="28"/>
          <w:highlight w:val="none"/>
          <w:lang w:val="zh-CN"/>
        </w:rPr>
        <w:t>。</w:t>
      </w:r>
    </w:p>
    <w:p w14:paraId="5DF24319">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val="zh-CN"/>
        </w:rPr>
        <w:t>、承包方式：包工包料。</w:t>
      </w:r>
    </w:p>
    <w:p w14:paraId="33A8B7FF">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甲方负责电机拆电源线、电机拆除、起吊、安装找正、接线等工作</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协助乙方在甲方驻地装卸需要维保的电机或水泵。</w:t>
      </w:r>
    </w:p>
    <w:p w14:paraId="18931958">
      <w:pPr>
        <w:shd w:val="clear"/>
        <w:spacing w:line="400" w:lineRule="exact"/>
        <w:ind w:firstLine="560" w:firstLineChars="200"/>
        <w:rPr>
          <w:rFonts w:hint="eastAsia" w:ascii="仿宋_GB2312" w:hAnsi="仿宋_GB2312" w:eastAsia="仿宋_GB2312" w:cs="仿宋_GB2312"/>
          <w:color w:val="000000"/>
          <w:sz w:val="28"/>
          <w:szCs w:val="28"/>
          <w:highlight w:val="none"/>
          <w:lang w:val="zh-CN"/>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lang w:val="zh-CN"/>
        </w:rPr>
        <w:t>、电机保养</w:t>
      </w:r>
      <w:r>
        <w:rPr>
          <w:rFonts w:hint="eastAsia" w:ascii="仿宋_GB2312" w:hAnsi="仿宋_GB2312" w:eastAsia="仿宋_GB2312" w:cs="仿宋_GB2312"/>
          <w:color w:val="000000"/>
          <w:sz w:val="28"/>
          <w:szCs w:val="28"/>
          <w:highlight w:val="none"/>
        </w:rPr>
        <w:t>方式</w:t>
      </w:r>
      <w:r>
        <w:rPr>
          <w:rFonts w:hint="eastAsia" w:ascii="仿宋_GB2312" w:hAnsi="仿宋_GB2312" w:eastAsia="仿宋_GB2312" w:cs="仿宋_GB2312"/>
          <w:color w:val="000000"/>
          <w:sz w:val="28"/>
          <w:szCs w:val="28"/>
          <w:highlight w:val="none"/>
          <w:lang w:val="zh-CN"/>
        </w:rPr>
        <w:t>为</w:t>
      </w:r>
      <w:r>
        <w:rPr>
          <w:rFonts w:hint="eastAsia" w:ascii="仿宋_GB2312" w:hAnsi="仿宋_GB2312" w:eastAsia="仿宋_GB2312" w:cs="仿宋_GB2312"/>
          <w:color w:val="000000"/>
          <w:sz w:val="28"/>
          <w:szCs w:val="28"/>
          <w:highlight w:val="none"/>
        </w:rPr>
        <w:t>拉回中标单位保养</w:t>
      </w:r>
      <w:r>
        <w:rPr>
          <w:rFonts w:hint="eastAsia" w:ascii="仿宋_GB2312" w:hAnsi="仿宋_GB2312" w:eastAsia="仿宋_GB2312" w:cs="仿宋_GB2312"/>
          <w:color w:val="000000"/>
          <w:sz w:val="28"/>
          <w:szCs w:val="28"/>
          <w:highlight w:val="none"/>
          <w:lang w:val="zh-CN"/>
        </w:rPr>
        <w:t>，保养范围为：</w:t>
      </w:r>
      <w:r>
        <w:rPr>
          <w:rFonts w:hint="eastAsia" w:ascii="仿宋_GB2312" w:hAnsi="仿宋_GB2312" w:eastAsia="仿宋_GB2312" w:cs="仿宋_GB2312"/>
          <w:color w:val="000000"/>
          <w:sz w:val="28"/>
          <w:szCs w:val="28"/>
          <w:highlight w:val="none"/>
        </w:rPr>
        <w:t>5</w:t>
      </w:r>
      <w:r>
        <w:rPr>
          <w:rFonts w:hint="eastAsia" w:ascii="仿宋_GB2312" w:hAnsi="仿宋_GB2312" w:eastAsia="仿宋_GB2312" w:cs="仿宋_GB2312"/>
          <w:color w:val="000000"/>
          <w:sz w:val="28"/>
          <w:szCs w:val="28"/>
          <w:highlight w:val="none"/>
          <w:lang w:val="zh-CN"/>
        </w:rPr>
        <w:t>5KW</w:t>
      </w:r>
      <w:r>
        <w:rPr>
          <w:rFonts w:hint="eastAsia" w:ascii="仿宋_GB2312" w:hAnsi="仿宋_GB2312" w:eastAsia="仿宋_GB2312" w:cs="仿宋_GB2312"/>
          <w:color w:val="000000"/>
          <w:sz w:val="28"/>
          <w:szCs w:val="28"/>
          <w:highlight w:val="none"/>
        </w:rPr>
        <w:t>及</w:t>
      </w:r>
      <w:r>
        <w:rPr>
          <w:rFonts w:hint="eastAsia" w:ascii="仿宋_GB2312" w:hAnsi="仿宋_GB2312" w:eastAsia="仿宋_GB2312" w:cs="仿宋_GB2312"/>
          <w:color w:val="000000"/>
          <w:sz w:val="28"/>
          <w:szCs w:val="28"/>
          <w:highlight w:val="none"/>
          <w:lang w:val="zh-CN"/>
        </w:rPr>
        <w:t>以下无加油孔电机。</w:t>
      </w:r>
    </w:p>
    <w:bookmarkEnd w:id="147"/>
    <w:bookmarkEnd w:id="148"/>
    <w:p w14:paraId="360CB866">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lang w:val="en-US" w:eastAsia="zh-CN"/>
        </w:rPr>
        <w:t>6</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合同在履行期间，遇国家税收政策调整，以不含税价格为准。税率调整后，未开增值税发票的货款相应调整，调整后的货款为：</w:t>
      </w:r>
    </w:p>
    <w:p w14:paraId="794CCB22">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未开增值税发票的货款÷(1+原税率)×（1＋新税率）</w:t>
      </w:r>
    </w:p>
    <w:p w14:paraId="178E5264">
      <w:pPr>
        <w:numPr>
          <w:ilvl w:val="0"/>
          <w:numId w:val="0"/>
        </w:num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lang w:val="en-US" w:eastAsia="zh-CN"/>
        </w:rPr>
        <w:t>7、</w:t>
      </w:r>
      <w:r>
        <w:rPr>
          <w:rFonts w:hint="eastAsia" w:ascii="仿宋_GB2312" w:eastAsia="仿宋_GB2312" w:cs="仿宋"/>
          <w:sz w:val="28"/>
          <w:szCs w:val="28"/>
          <w:highlight w:val="none"/>
        </w:rPr>
        <w:t>本合同计价货币、结算货币和支付货币为人民币。</w:t>
      </w:r>
    </w:p>
    <w:p w14:paraId="6175E210">
      <w:pPr>
        <w:shd w:val="clear"/>
        <w:spacing w:line="420" w:lineRule="exact"/>
        <w:ind w:left="319" w:leftChars="133" w:firstLine="280" w:firstLineChars="100"/>
        <w:rPr>
          <w:rFonts w:hint="eastAsia"/>
          <w:highlight w:val="none"/>
        </w:rPr>
      </w:pPr>
      <w:r>
        <w:rPr>
          <w:rFonts w:hint="eastAsia" w:ascii="仿宋_GB2312" w:eastAsia="仿宋_GB2312"/>
          <w:sz w:val="28"/>
          <w:szCs w:val="28"/>
          <w:highlight w:val="none"/>
          <w:lang w:val="en-US" w:eastAsia="zh-CN"/>
        </w:rPr>
        <w:t>8、本合同</w:t>
      </w:r>
      <w:r>
        <w:rPr>
          <w:rFonts w:hint="eastAsia" w:ascii="仿宋_GB2312" w:eastAsia="仿宋_GB2312"/>
          <w:sz w:val="28"/>
          <w:szCs w:val="28"/>
          <w:highlight w:val="none"/>
        </w:rPr>
        <w:t>有效期</w:t>
      </w:r>
      <w:r>
        <w:rPr>
          <w:rFonts w:hint="eastAsia" w:ascii="仿宋_GB2312" w:eastAsia="仿宋_GB2312"/>
          <w:sz w:val="28"/>
          <w:szCs w:val="28"/>
          <w:highlight w:val="none"/>
          <w:lang w:val="en-US" w:eastAsia="zh-CN"/>
        </w:rPr>
        <w:t>自签订日起一</w:t>
      </w:r>
      <w:r>
        <w:rPr>
          <w:rFonts w:hint="eastAsia" w:ascii="仿宋_GB2312" w:eastAsia="仿宋_GB2312"/>
          <w:sz w:val="28"/>
          <w:szCs w:val="28"/>
          <w:highlight w:val="none"/>
        </w:rPr>
        <w:t>年。</w:t>
      </w:r>
    </w:p>
    <w:p w14:paraId="7E7CA5C1">
      <w:pPr>
        <w:pStyle w:val="58"/>
        <w:shd w:val="clear"/>
        <w:spacing w:line="420" w:lineRule="exact"/>
        <w:rPr>
          <w:rFonts w:hint="eastAsia" w:ascii="仿宋_GB2312" w:eastAsia="仿宋_GB2312"/>
          <w:sz w:val="28"/>
          <w:szCs w:val="28"/>
          <w:highlight w:val="none"/>
        </w:rPr>
      </w:pPr>
      <w:bookmarkStart w:id="149" w:name="_Toc521503306"/>
      <w:bookmarkStart w:id="150" w:name="_Toc507025406"/>
      <w:r>
        <w:rPr>
          <w:rFonts w:hint="eastAsia" w:ascii="仿宋_GB2312" w:eastAsia="仿宋_GB2312"/>
          <w:sz w:val="28"/>
          <w:szCs w:val="28"/>
          <w:highlight w:val="none"/>
          <w:lang w:val="en-US" w:eastAsia="zh-CN"/>
        </w:rPr>
        <w:t>三、</w:t>
      </w:r>
      <w:r>
        <w:rPr>
          <w:rFonts w:hint="eastAsia" w:ascii="仿宋_GB2312" w:eastAsia="仿宋_GB2312"/>
          <w:sz w:val="28"/>
          <w:szCs w:val="28"/>
          <w:highlight w:val="none"/>
        </w:rPr>
        <w:t>支付</w:t>
      </w:r>
      <w:bookmarkEnd w:id="149"/>
      <w:bookmarkEnd w:id="150"/>
    </w:p>
    <w:p w14:paraId="37586C85">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1</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甲方以</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方式</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lang w:val="en-US" w:eastAsia="zh-CN"/>
        </w:rPr>
        <w:t>以双方约定为准</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向乙方支付费用。</w:t>
      </w:r>
    </w:p>
    <w:p w14:paraId="12FAA316">
      <w:pPr>
        <w:shd w:val="clear"/>
        <w:snapToGrid w:val="0"/>
        <w:spacing w:line="420" w:lineRule="exact"/>
        <w:ind w:firstLine="560" w:firstLineChars="200"/>
        <w:rPr>
          <w:rFonts w:hint="eastAsia" w:ascii="仿宋_GB2312" w:hAnsi="Calibri" w:eastAsia="仿宋_GB2312" w:cs="仿宋"/>
          <w:sz w:val="28"/>
          <w:szCs w:val="28"/>
          <w:highlight w:val="none"/>
        </w:rPr>
      </w:pPr>
      <w:r>
        <w:rPr>
          <w:rFonts w:hint="eastAsia" w:ascii="仿宋_GB2312" w:hAnsi="Calibri" w:eastAsia="仿宋_GB2312" w:cs="仿宋"/>
          <w:sz w:val="28"/>
          <w:szCs w:val="28"/>
          <w:highlight w:val="none"/>
        </w:rPr>
        <w:t>2</w:t>
      </w:r>
      <w:r>
        <w:rPr>
          <w:rFonts w:hint="eastAsia" w:ascii="仿宋_GB2312" w:hAnsi="Calibri" w:eastAsia="仿宋_GB2312" w:cs="仿宋"/>
          <w:sz w:val="28"/>
          <w:szCs w:val="28"/>
          <w:highlight w:val="none"/>
          <w:lang w:eastAsia="zh-CN"/>
        </w:rPr>
        <w:t>、</w:t>
      </w:r>
      <w:r>
        <w:rPr>
          <w:rFonts w:hint="eastAsia" w:ascii="仿宋_GB2312" w:hAnsi="Calibri" w:eastAsia="仿宋_GB2312" w:cs="仿宋"/>
          <w:sz w:val="28"/>
          <w:szCs w:val="28"/>
          <w:highlight w:val="none"/>
        </w:rPr>
        <w:t>按照实际工程量每季度结算一次，合同有效期内结算上限为</w:t>
      </w:r>
      <w:r>
        <w:rPr>
          <w:rFonts w:hint="eastAsia" w:ascii="仿宋_GB2312" w:hAnsi="Calibri" w:eastAsia="仿宋_GB2312" w:cs="仿宋"/>
          <w:sz w:val="28"/>
          <w:szCs w:val="28"/>
          <w:highlight w:val="none"/>
          <w:lang w:val="en-US" w:eastAsia="zh-CN"/>
        </w:rPr>
        <w:t>***</w:t>
      </w:r>
      <w:r>
        <w:rPr>
          <w:rFonts w:hint="eastAsia" w:ascii="仿宋_GB2312" w:hAnsi="Calibri" w:eastAsia="仿宋_GB2312" w:cs="仿宋"/>
          <w:sz w:val="28"/>
          <w:szCs w:val="28"/>
          <w:highlight w:val="none"/>
        </w:rPr>
        <w:t>万元，合同到期或结算额达到结算上限后合同终止。</w:t>
      </w:r>
    </w:p>
    <w:p w14:paraId="4BC2F049">
      <w:pPr>
        <w:shd w:val="clear"/>
        <w:snapToGrid w:val="0"/>
        <w:spacing w:line="420" w:lineRule="exact"/>
        <w:ind w:firstLine="560" w:firstLineChars="200"/>
        <w:rPr>
          <w:rFonts w:hint="eastAsia" w:ascii="仿宋_GB2312" w:hAnsi="Calibri" w:eastAsia="仿宋_GB2312" w:cs="仿宋"/>
          <w:sz w:val="28"/>
          <w:szCs w:val="28"/>
          <w:highlight w:val="none"/>
        </w:rPr>
      </w:pPr>
      <w:r>
        <w:rPr>
          <w:rFonts w:hint="eastAsia" w:ascii="仿宋_GB2312" w:hAnsi="Calibri" w:eastAsia="仿宋_GB2312" w:cs="仿宋"/>
          <w:sz w:val="28"/>
          <w:szCs w:val="28"/>
          <w:highlight w:val="none"/>
          <w:lang w:val="en-US" w:eastAsia="zh-CN"/>
        </w:rPr>
        <w:t>3</w:t>
      </w:r>
      <w:r>
        <w:rPr>
          <w:rFonts w:hint="eastAsia" w:ascii="仿宋_GB2312" w:hAnsi="Calibri" w:eastAsia="仿宋_GB2312" w:cs="仿宋"/>
          <w:sz w:val="28"/>
          <w:szCs w:val="28"/>
          <w:highlight w:val="none"/>
          <w:lang w:eastAsia="zh-CN"/>
        </w:rPr>
        <w:t>、</w:t>
      </w:r>
      <w:r>
        <w:rPr>
          <w:rFonts w:hint="eastAsia" w:ascii="仿宋_GB2312" w:hAnsi="Calibri" w:eastAsia="仿宋_GB2312" w:cs="仿宋"/>
          <w:sz w:val="28"/>
          <w:szCs w:val="28"/>
          <w:highlight w:val="none"/>
        </w:rPr>
        <w:t>根据实际工程量，每</w:t>
      </w:r>
      <w:r>
        <w:rPr>
          <w:rFonts w:hint="eastAsia" w:ascii="仿宋_GB2312" w:hAnsi="Calibri" w:eastAsia="仿宋_GB2312" w:cs="仿宋"/>
          <w:sz w:val="28"/>
          <w:szCs w:val="28"/>
          <w:highlight w:val="none"/>
          <w:lang w:val="en-US" w:eastAsia="zh-CN"/>
        </w:rPr>
        <w:t>季度</w:t>
      </w:r>
      <w:r>
        <w:rPr>
          <w:rFonts w:hint="eastAsia" w:ascii="仿宋_GB2312" w:hAnsi="Calibri" w:eastAsia="仿宋_GB2312" w:cs="仿宋"/>
          <w:sz w:val="28"/>
          <w:szCs w:val="28"/>
          <w:highlight w:val="none"/>
        </w:rPr>
        <w:t>结算一次，</w:t>
      </w:r>
      <w:r>
        <w:rPr>
          <w:rFonts w:hint="eastAsia" w:ascii="仿宋_GB2312" w:hAnsi="Calibri" w:eastAsia="仿宋_GB2312" w:cs="仿宋"/>
          <w:sz w:val="28"/>
          <w:szCs w:val="28"/>
          <w:highlight w:val="none"/>
          <w:lang w:val="en-US" w:eastAsia="zh-CN"/>
        </w:rPr>
        <w:t>双方验收合格（维修确认单）并</w:t>
      </w:r>
      <w:r>
        <w:rPr>
          <w:rFonts w:hint="eastAsia" w:ascii="仿宋_GB2312" w:hAnsi="Calibri" w:eastAsia="仿宋_GB2312" w:cs="仿宋"/>
          <w:sz w:val="28"/>
          <w:szCs w:val="28"/>
          <w:highlight w:val="none"/>
        </w:rPr>
        <w:t>甲方收到全额增值税专用发票后</w:t>
      </w:r>
      <w:r>
        <w:rPr>
          <w:rFonts w:hint="eastAsia" w:ascii="仿宋_GB2312" w:hAnsi="Calibri" w:eastAsia="仿宋_GB2312" w:cs="仿宋"/>
          <w:sz w:val="28"/>
          <w:szCs w:val="28"/>
          <w:highlight w:val="none"/>
          <w:lang w:val="en-US" w:eastAsia="zh-CN"/>
        </w:rPr>
        <w:t>30</w:t>
      </w:r>
      <w:r>
        <w:rPr>
          <w:rFonts w:hint="eastAsia" w:ascii="仿宋_GB2312" w:hAnsi="Calibri" w:eastAsia="仿宋_GB2312" w:cs="仿宋"/>
          <w:sz w:val="28"/>
          <w:szCs w:val="28"/>
          <w:highlight w:val="none"/>
        </w:rPr>
        <w:t>个工作日内支付。</w:t>
      </w:r>
    </w:p>
    <w:p w14:paraId="207F6A02">
      <w:pPr>
        <w:shd w:val="clear"/>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lang w:val="en-US" w:eastAsia="zh-CN"/>
        </w:rPr>
        <w:t>4</w:t>
      </w:r>
      <w:r>
        <w:rPr>
          <w:rFonts w:hint="eastAsia" w:ascii="仿宋_GB2312" w:eastAsia="仿宋_GB2312" w:cs="仿宋"/>
          <w:sz w:val="28"/>
          <w:szCs w:val="28"/>
          <w:highlight w:val="none"/>
          <w:lang w:eastAsia="zh-CN"/>
        </w:rPr>
        <w:t>、</w:t>
      </w:r>
      <w:r>
        <w:rPr>
          <w:rFonts w:hint="eastAsia" w:ascii="仿宋_GB2312" w:eastAsia="仿宋_GB2312" w:cs="仿宋"/>
          <w:sz w:val="28"/>
          <w:szCs w:val="28"/>
          <w:highlight w:val="none"/>
        </w:rPr>
        <w:t>关于开具增值税专用发票的要求：</w:t>
      </w:r>
    </w:p>
    <w:p w14:paraId="5D0F1BDC">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1）甲方向乙方支付合同价款前，乙方应向甲方开具增值税专用发票，否则，甲方有权拒绝付款并顺延付款时间。因乙方开具的发票不规范、不合法或涉嫌虚开发票引起税务问题的，乙方需依法向甲方重新开具发票，并向甲方承担赔偿责任。</w:t>
      </w:r>
    </w:p>
    <w:p w14:paraId="0E149EAE">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（2）乙方应按照甲方要求，及时向甲方开具可以抵扣税款的增值税专用发票。因乙方开具发票不及时给甲方造成无法及时认证、抵扣发票等情形的，乙方需向甲方承担赔偿责任。</w:t>
      </w:r>
    </w:p>
    <w:p w14:paraId="5E635308">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3）乙方向甲方开具的增值税专用发票，乙方必须确保发票票面信息全部真实，相关货物、价款等内容与本合同相一致。因发票票面信息有误导致发票不能抵扣税款或者被认定为虚开的，乙方需向甲方承担赔偿责任。</w:t>
      </w:r>
    </w:p>
    <w:p w14:paraId="5014BA92">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（4）乙方收取价外费用的，需依法开具增值税专用发票。</w:t>
      </w:r>
    </w:p>
    <w:p w14:paraId="6003D93F">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（5）甲方增值税专用发票信息如下：</w:t>
      </w:r>
    </w:p>
    <w:p w14:paraId="1B86CB46">
      <w:pPr>
        <w:shd w:val="clear"/>
        <w:snapToGrid w:val="0"/>
        <w:spacing w:line="420" w:lineRule="exact"/>
        <w:ind w:firstLine="480"/>
        <w:rPr>
          <w:rFonts w:hint="eastAsia" w:ascii="仿宋_GB2312" w:eastAsia="仿宋_GB2312" w:cs="仿宋"/>
          <w:sz w:val="28"/>
          <w:szCs w:val="28"/>
          <w:highlight w:val="none"/>
        </w:rPr>
      </w:pPr>
      <w:bookmarkStart w:id="151" w:name="_Toc507025407"/>
      <w:r>
        <w:rPr>
          <w:rFonts w:hint="eastAsia" w:ascii="仿宋_GB2312" w:eastAsia="仿宋_GB2312" w:cs="仿宋"/>
          <w:sz w:val="28"/>
          <w:szCs w:val="28"/>
          <w:highlight w:val="none"/>
        </w:rPr>
        <w:t>单位名称：山东济钢环保新材料有限公司</w:t>
      </w:r>
    </w:p>
    <w:p w14:paraId="054CDEE5">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纳税人识别号：91370181MA3MJQRU4Y</w:t>
      </w:r>
    </w:p>
    <w:p w14:paraId="3FA21148">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开户行：中国民生银行济南章丘支行</w:t>
      </w:r>
    </w:p>
    <w:p w14:paraId="473DC215">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账号：609055119</w:t>
      </w:r>
    </w:p>
    <w:p w14:paraId="0C733B4B">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地址： 山东省济南市章丘区官庄街道青野村东</w:t>
      </w:r>
    </w:p>
    <w:p w14:paraId="37923749">
      <w:pPr>
        <w:shd w:val="clear"/>
        <w:snapToGrid w:val="0"/>
        <w:spacing w:line="420" w:lineRule="exact"/>
        <w:ind w:firstLine="480"/>
        <w:rPr>
          <w:rFonts w:hint="eastAsia" w:ascii="仿宋_GB2312" w:eastAsia="仿宋_GB2312" w:cs="仿宋"/>
          <w:sz w:val="28"/>
          <w:szCs w:val="28"/>
          <w:highlight w:val="none"/>
        </w:rPr>
      </w:pPr>
      <w:r>
        <w:rPr>
          <w:rFonts w:hint="eastAsia" w:ascii="仿宋_GB2312" w:eastAsia="仿宋_GB2312" w:cs="仿宋"/>
          <w:sz w:val="28"/>
          <w:szCs w:val="28"/>
          <w:highlight w:val="none"/>
        </w:rPr>
        <w:t>电话：0531-83790165</w:t>
      </w:r>
    </w:p>
    <w:p w14:paraId="7DDBF60B">
      <w:pPr>
        <w:pStyle w:val="58"/>
        <w:shd w:val="clear"/>
        <w:spacing w:line="420" w:lineRule="exact"/>
        <w:rPr>
          <w:rFonts w:hint="eastAsia" w:ascii="仿宋_GB2312" w:eastAsia="仿宋_GB2312"/>
          <w:sz w:val="28"/>
          <w:szCs w:val="28"/>
          <w:highlight w:val="none"/>
        </w:rPr>
      </w:pPr>
      <w:bookmarkStart w:id="152" w:name="_Toc521503317"/>
      <w:r>
        <w:rPr>
          <w:rFonts w:hint="eastAsia" w:ascii="仿宋_GB2312" w:eastAsia="仿宋_GB2312"/>
          <w:sz w:val="28"/>
          <w:szCs w:val="28"/>
          <w:highlight w:val="none"/>
          <w:lang w:val="en-US" w:eastAsia="zh-CN"/>
        </w:rPr>
        <w:t>四、</w:t>
      </w:r>
      <w:r>
        <w:rPr>
          <w:rFonts w:hint="eastAsia" w:ascii="仿宋_GB2312" w:eastAsia="仿宋_GB2312"/>
          <w:sz w:val="28"/>
          <w:szCs w:val="28"/>
          <w:highlight w:val="none"/>
        </w:rPr>
        <w:t>安全责任</w:t>
      </w:r>
    </w:p>
    <w:p w14:paraId="5A59D9FD">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1</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进入甲方施工现场，穿戴好劳动防护用品，听从甲方管理人员的指挥。对于不按规定穿戴劳动防护用品，不听从甲方安全管理人员的指挥，造成的安全事故，由乙方承担全部责任。</w:t>
      </w:r>
    </w:p>
    <w:p w14:paraId="5E4C66EC">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2</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禁止违章作业，由于违章作业造成的安全事故，由乙方承担全部责任。乙方有权拒绝甲方的违章指挥。</w:t>
      </w:r>
    </w:p>
    <w:p w14:paraId="7F8457D7">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3</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乙方要严格按照安全操作规程操作，对违反安全操作规程造成的安全事故，由乙方承担全部责任。</w:t>
      </w:r>
    </w:p>
    <w:p w14:paraId="05FE851D">
      <w:pPr>
        <w:pStyle w:val="58"/>
        <w:shd w:val="clear"/>
        <w:spacing w:line="420" w:lineRule="exact"/>
        <w:ind w:left="120" w:leftChars="5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4</w:t>
      </w:r>
      <w:r>
        <w:rPr>
          <w:rFonts w:hint="eastAsia" w:ascii="仿宋_GB2312" w:eastAsia="仿宋_GB2312" w:cs="仿宋"/>
          <w:b w:val="0"/>
          <w:sz w:val="28"/>
          <w:szCs w:val="28"/>
          <w:highlight w:val="none"/>
          <w:lang w:eastAsia="zh-CN"/>
        </w:rPr>
        <w:t>、</w:t>
      </w:r>
      <w:r>
        <w:rPr>
          <w:rFonts w:hint="eastAsia" w:ascii="仿宋_GB2312" w:eastAsia="仿宋_GB2312" w:cs="仿宋"/>
          <w:b w:val="0"/>
          <w:sz w:val="28"/>
          <w:szCs w:val="28"/>
          <w:highlight w:val="none"/>
        </w:rPr>
        <w:t>乙方认真做好安全确认和安全技术交底，对安全确认和安全技术交底不到位造成的安全事故，由乙方承担全部责任。</w:t>
      </w:r>
    </w:p>
    <w:p w14:paraId="2EF7378C">
      <w:pPr>
        <w:pStyle w:val="58"/>
        <w:shd w:val="clear"/>
        <w:spacing w:line="420" w:lineRule="exact"/>
        <w:rPr>
          <w:rFonts w:hint="eastAsia" w:ascii="仿宋_GB2312" w:eastAsia="仿宋_GB2312"/>
          <w:sz w:val="28"/>
          <w:szCs w:val="28"/>
          <w:highlight w:val="none"/>
        </w:rPr>
      </w:pPr>
      <w:r>
        <w:rPr>
          <w:rFonts w:hint="eastAsia" w:ascii="仿宋_GB2312" w:eastAsia="仿宋_GB2312"/>
          <w:sz w:val="28"/>
          <w:szCs w:val="28"/>
          <w:highlight w:val="none"/>
          <w:lang w:val="en-US" w:eastAsia="zh-CN"/>
        </w:rPr>
        <w:t>五、</w:t>
      </w:r>
      <w:r>
        <w:rPr>
          <w:rFonts w:hint="eastAsia" w:ascii="仿宋_GB2312" w:eastAsia="仿宋_GB2312"/>
          <w:sz w:val="28"/>
          <w:szCs w:val="28"/>
          <w:highlight w:val="none"/>
        </w:rPr>
        <w:t>违约责任</w:t>
      </w:r>
    </w:p>
    <w:p w14:paraId="618860A6">
      <w:pPr>
        <w:pStyle w:val="58"/>
        <w:shd w:val="clear"/>
        <w:spacing w:line="420" w:lineRule="exact"/>
        <w:ind w:left="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1</w:t>
      </w:r>
      <w:r>
        <w:rPr>
          <w:rFonts w:hint="eastAsia" w:ascii="仿宋_GB2312" w:eastAsia="仿宋_GB2312" w:cs="仿宋"/>
          <w:b w:val="0"/>
          <w:sz w:val="28"/>
          <w:szCs w:val="28"/>
          <w:highlight w:val="none"/>
          <w:lang w:val="en-US" w:eastAsia="zh-CN"/>
        </w:rPr>
        <w:t>.</w:t>
      </w:r>
      <w:r>
        <w:rPr>
          <w:rFonts w:hint="eastAsia" w:ascii="仿宋_GB2312" w:eastAsia="仿宋_GB2312" w:cs="仿宋"/>
          <w:b w:val="0"/>
          <w:sz w:val="28"/>
          <w:szCs w:val="28"/>
          <w:highlight w:val="none"/>
        </w:rPr>
        <w:t>乙方要按照甲方的时间要求，确保按时到场，按时完成甲方规定的工作任务。对于不按时到场或不按时完成工作任务的行为，视情节轻重给予1000-3000元的</w:t>
      </w:r>
      <w:r>
        <w:rPr>
          <w:rFonts w:hint="eastAsia" w:ascii="仿宋_GB2312" w:eastAsia="仿宋_GB2312" w:cs="仿宋"/>
          <w:b w:val="0"/>
          <w:sz w:val="28"/>
          <w:szCs w:val="28"/>
          <w:highlight w:val="none"/>
          <w:lang w:val="en-US" w:eastAsia="zh-CN"/>
        </w:rPr>
        <w:t>考核</w:t>
      </w:r>
      <w:r>
        <w:rPr>
          <w:rFonts w:hint="eastAsia" w:ascii="仿宋_GB2312" w:eastAsia="仿宋_GB2312" w:cs="仿宋"/>
          <w:b w:val="0"/>
          <w:sz w:val="28"/>
          <w:szCs w:val="28"/>
          <w:highlight w:val="none"/>
        </w:rPr>
        <w:t>。对于多次不按时到场或不按时完成工作任务的行为，造成严重影响和不良后果的，甲方有权单方面解除合同。</w:t>
      </w:r>
    </w:p>
    <w:p w14:paraId="0A111F68">
      <w:pPr>
        <w:pStyle w:val="58"/>
        <w:shd w:val="clear"/>
        <w:spacing w:line="420" w:lineRule="exact"/>
        <w:ind w:left="0" w:firstLine="560" w:firstLineChars="200"/>
        <w:rPr>
          <w:rFonts w:hint="eastAsia" w:ascii="仿宋_GB2312" w:eastAsia="仿宋_GB2312" w:cs="仿宋"/>
          <w:b w:val="0"/>
          <w:sz w:val="28"/>
          <w:szCs w:val="28"/>
          <w:highlight w:val="none"/>
        </w:rPr>
      </w:pPr>
      <w:r>
        <w:rPr>
          <w:rFonts w:hint="eastAsia" w:ascii="仿宋_GB2312" w:eastAsia="仿宋_GB2312" w:cs="仿宋"/>
          <w:b w:val="0"/>
          <w:sz w:val="28"/>
          <w:szCs w:val="28"/>
          <w:highlight w:val="none"/>
        </w:rPr>
        <w:t>2</w:t>
      </w:r>
      <w:r>
        <w:rPr>
          <w:rFonts w:hint="eastAsia" w:ascii="仿宋_GB2312" w:eastAsia="仿宋_GB2312" w:cs="仿宋"/>
          <w:b w:val="0"/>
          <w:sz w:val="28"/>
          <w:szCs w:val="28"/>
          <w:highlight w:val="none"/>
          <w:lang w:val="en-US" w:eastAsia="zh-CN"/>
        </w:rPr>
        <w:t>.</w:t>
      </w:r>
      <w:r>
        <w:rPr>
          <w:rFonts w:hint="eastAsia" w:ascii="仿宋_GB2312" w:eastAsia="仿宋_GB2312" w:cs="仿宋"/>
          <w:b w:val="0"/>
          <w:sz w:val="28"/>
          <w:szCs w:val="28"/>
          <w:highlight w:val="none"/>
        </w:rPr>
        <w:t>甲方不按时支付费用，以迟延支付款项金额为基数按银行同期贷款利率向乙方支付违约金。</w:t>
      </w:r>
    </w:p>
    <w:p w14:paraId="727EC7A8">
      <w:pPr>
        <w:pStyle w:val="58"/>
        <w:shd w:val="clear"/>
        <w:spacing w:line="420" w:lineRule="exact"/>
        <w:ind w:left="0" w:firstLine="560" w:firstLineChars="200"/>
        <w:rPr>
          <w:rFonts w:hint="default" w:ascii="仿宋_GB2312" w:eastAsia="仿宋_GB2312" w:cs="仿宋"/>
          <w:b w:val="0"/>
          <w:sz w:val="28"/>
          <w:szCs w:val="28"/>
          <w:highlight w:val="none"/>
          <w:lang w:val="en-US" w:eastAsia="zh-CN"/>
        </w:rPr>
      </w:pPr>
      <w:r>
        <w:rPr>
          <w:rFonts w:hint="eastAsia" w:ascii="仿宋_GB2312" w:eastAsia="仿宋_GB2312" w:cs="仿宋"/>
          <w:b w:val="0"/>
          <w:sz w:val="28"/>
          <w:szCs w:val="28"/>
          <w:highlight w:val="none"/>
          <w:lang w:val="en-US" w:eastAsia="zh-CN"/>
        </w:rPr>
        <w:t>3.如因乙方原因提前单方面解除合同或拒不提供服务，乙方须赔偿甲方合同总额10%的违约金。</w:t>
      </w:r>
    </w:p>
    <w:p w14:paraId="0F8FF092">
      <w:pPr>
        <w:pStyle w:val="58"/>
        <w:shd w:val="clear"/>
        <w:spacing w:line="420" w:lineRule="exact"/>
        <w:rPr>
          <w:rFonts w:hint="eastAsia" w:ascii="仿宋_GB2312" w:eastAsia="仿宋_GB2312"/>
          <w:sz w:val="28"/>
          <w:szCs w:val="28"/>
          <w:highlight w:val="none"/>
        </w:rPr>
      </w:pPr>
      <w:r>
        <w:rPr>
          <w:rFonts w:hint="eastAsia" w:ascii="仿宋_GB2312" w:eastAsia="仿宋_GB2312"/>
          <w:sz w:val="28"/>
          <w:szCs w:val="28"/>
          <w:highlight w:val="none"/>
          <w:lang w:val="en-US" w:eastAsia="zh-CN"/>
        </w:rPr>
        <w:t>六、</w:t>
      </w:r>
      <w:r>
        <w:rPr>
          <w:rFonts w:hint="eastAsia" w:ascii="仿宋_GB2312" w:eastAsia="仿宋_GB2312"/>
          <w:sz w:val="28"/>
          <w:szCs w:val="28"/>
          <w:highlight w:val="none"/>
        </w:rPr>
        <w:t>争议解决</w:t>
      </w:r>
    </w:p>
    <w:p w14:paraId="2B45369D">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双方约定，在履行本合同过程中发生争议，双方协商解决；协商不成时，依法向甲方法人所在地人民法院提起诉讼。</w:t>
      </w:r>
    </w:p>
    <w:bookmarkEnd w:id="152"/>
    <w:p w14:paraId="1348FF7C">
      <w:pPr>
        <w:pStyle w:val="58"/>
        <w:shd w:val="clear"/>
        <w:spacing w:line="420" w:lineRule="exact"/>
        <w:rPr>
          <w:rFonts w:hint="eastAsia" w:ascii="仿宋_GB2312" w:eastAsia="仿宋_GB2312"/>
          <w:sz w:val="28"/>
          <w:szCs w:val="28"/>
          <w:highlight w:val="none"/>
        </w:rPr>
      </w:pPr>
      <w:bookmarkStart w:id="153" w:name="_Toc521503318"/>
      <w:r>
        <w:rPr>
          <w:rFonts w:hint="eastAsia" w:ascii="仿宋_GB2312" w:eastAsia="仿宋_GB2312"/>
          <w:sz w:val="28"/>
          <w:szCs w:val="28"/>
          <w:highlight w:val="none"/>
          <w:lang w:val="en-US" w:eastAsia="zh-CN"/>
        </w:rPr>
        <w:t>七、</w:t>
      </w:r>
      <w:r>
        <w:rPr>
          <w:rFonts w:hint="eastAsia" w:ascii="仿宋_GB2312" w:eastAsia="仿宋_GB2312"/>
          <w:sz w:val="28"/>
          <w:szCs w:val="28"/>
          <w:highlight w:val="none"/>
        </w:rPr>
        <w:t>其他约定事项</w:t>
      </w:r>
      <w:bookmarkEnd w:id="153"/>
    </w:p>
    <w:p w14:paraId="525C284F">
      <w:pPr>
        <w:shd w:val="clear"/>
        <w:snapToGrid w:val="0"/>
        <w:spacing w:line="420" w:lineRule="exact"/>
        <w:ind w:firstLine="560" w:firstLineChars="200"/>
        <w:rPr>
          <w:rFonts w:hint="eastAsia" w:ascii="仿宋_GB2312" w:eastAsia="仿宋_GB2312" w:cs="仿宋"/>
          <w:sz w:val="28"/>
          <w:szCs w:val="28"/>
          <w:highlight w:val="none"/>
          <w:u w:val="single"/>
        </w:rPr>
      </w:pPr>
      <w:r>
        <w:rPr>
          <w:rFonts w:hint="eastAsia" w:ascii="仿宋_GB2312" w:eastAsia="仿宋_GB2312" w:cs="仿宋"/>
          <w:sz w:val="28"/>
          <w:szCs w:val="28"/>
          <w:highlight w:val="none"/>
        </w:rPr>
        <w:t>1</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特别约定事项：</w:t>
      </w:r>
    </w:p>
    <w:p w14:paraId="751C9EAA">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2</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合同文件包括此合同书和下列文件，是本合同不可分割的一部分：</w:t>
      </w:r>
    </w:p>
    <w:p w14:paraId="3EC98E18">
      <w:pPr>
        <w:shd w:val="clear"/>
        <w:snapToGrid w:val="0"/>
        <w:spacing w:line="420" w:lineRule="exact"/>
        <w:ind w:firstLine="560" w:firstLineChars="200"/>
        <w:rPr>
          <w:rFonts w:hint="eastAsia" w:ascii="仿宋_GB2312" w:eastAsia="仿宋_GB2312" w:cs="仿宋"/>
          <w:sz w:val="28"/>
          <w:szCs w:val="28"/>
          <w:highlight w:val="none"/>
          <w:lang w:eastAsia="zh-CN"/>
        </w:rPr>
      </w:pPr>
      <w:r>
        <w:rPr>
          <w:rFonts w:hint="eastAsia" w:ascii="仿宋_GB2312" w:eastAsia="仿宋_GB2312" w:cs="仿宋"/>
          <w:sz w:val="28"/>
          <w:szCs w:val="28"/>
          <w:highlight w:val="none"/>
        </w:rPr>
        <w:t>（1）本合同</w:t>
      </w:r>
      <w:r>
        <w:rPr>
          <w:rFonts w:hint="eastAsia" w:ascii="仿宋_GB2312" w:eastAsia="仿宋_GB2312" w:cs="仿宋"/>
          <w:sz w:val="28"/>
          <w:szCs w:val="28"/>
          <w:highlight w:val="none"/>
          <w:lang w:eastAsia="zh-CN"/>
        </w:rPr>
        <w:t>；</w:t>
      </w:r>
    </w:p>
    <w:p w14:paraId="7DA481D8">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 xml:space="preserve">（2）招标文件； </w:t>
      </w:r>
    </w:p>
    <w:p w14:paraId="2CCC6A4D">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 xml:space="preserve">（3）投标文件； </w:t>
      </w:r>
    </w:p>
    <w:p w14:paraId="7218BAF0">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（4）乙方所有对甲方的承诺函件；</w:t>
      </w:r>
    </w:p>
    <w:p w14:paraId="3AD1F2FF">
      <w:pPr>
        <w:shd w:val="clear"/>
        <w:snapToGrid w:val="0"/>
        <w:spacing w:line="420" w:lineRule="exact"/>
        <w:ind w:firstLine="700" w:firstLineChars="250"/>
        <w:rPr>
          <w:rFonts w:hint="eastAsia" w:ascii="仿宋_GB2312" w:eastAsia="仿宋_GB2312" w:cs="仿宋"/>
          <w:sz w:val="28"/>
          <w:szCs w:val="28"/>
          <w:highlight w:val="none"/>
        </w:rPr>
      </w:pPr>
      <w:r>
        <w:rPr>
          <w:rFonts w:hint="eastAsia" w:ascii="仿宋_GB2312" w:eastAsia="仿宋_GB2312" w:cs="仿宋"/>
          <w:sz w:val="28"/>
          <w:szCs w:val="28"/>
          <w:highlight w:val="none"/>
        </w:rPr>
        <w:t>本合同效力高于其它合同文件，如果合同文件中出现分歧，则以本合同文件为准。</w:t>
      </w:r>
    </w:p>
    <w:p w14:paraId="615BA383">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3</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对本合同的变更只能经双方法定代表人或授权委托人签署补充合同，并加盖本合同统一公章，其他以会议纪要等形式对合同更改的一律无效。</w:t>
      </w:r>
    </w:p>
    <w:p w14:paraId="0324D446">
      <w:pPr>
        <w:shd w:val="clear"/>
        <w:snapToGrid w:val="0"/>
        <w:spacing w:line="420" w:lineRule="exact"/>
        <w:ind w:firstLine="506" w:firstLineChars="181"/>
        <w:rPr>
          <w:rFonts w:hint="eastAsia" w:ascii="仿宋_GB2312" w:eastAsia="仿宋_GB2312" w:cs="仿宋"/>
          <w:sz w:val="28"/>
          <w:szCs w:val="28"/>
          <w:highlight w:val="none"/>
        </w:rPr>
      </w:pPr>
      <w:r>
        <w:rPr>
          <w:rFonts w:hint="eastAsia" w:ascii="仿宋_GB2312" w:eastAsia="仿宋_GB2312" w:cs="仿宋"/>
          <w:sz w:val="28"/>
          <w:szCs w:val="28"/>
          <w:highlight w:val="none"/>
        </w:rPr>
        <w:t>4</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下列合同附件是本合同组成部分,具有同等法律效力，与本合同不相符时，以本合同为准。</w:t>
      </w:r>
    </w:p>
    <w:p w14:paraId="107C7DDA">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5</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双方往来均以书面形式为准。</w:t>
      </w:r>
    </w:p>
    <w:p w14:paraId="29C06B70">
      <w:pPr>
        <w:shd w:val="clear"/>
        <w:snapToGrid w:val="0"/>
        <w:spacing w:line="420" w:lineRule="exact"/>
        <w:ind w:firstLine="560" w:firstLineChars="200"/>
        <w:rPr>
          <w:rFonts w:hint="eastAsia" w:ascii="仿宋_GB2312" w:eastAsia="仿宋_GB2312" w:cs="仿宋"/>
          <w:sz w:val="28"/>
          <w:szCs w:val="28"/>
          <w:highlight w:val="none"/>
        </w:rPr>
      </w:pPr>
      <w:r>
        <w:rPr>
          <w:rFonts w:hint="eastAsia" w:ascii="仿宋_GB2312" w:eastAsia="仿宋_GB2312" w:cs="仿宋"/>
          <w:sz w:val="28"/>
          <w:szCs w:val="28"/>
          <w:highlight w:val="none"/>
        </w:rPr>
        <w:t>6</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本合同经双方签字并盖章后生效。</w:t>
      </w:r>
    </w:p>
    <w:p w14:paraId="3EA13B2F">
      <w:pPr>
        <w:pageBreakBefore w:val="0"/>
        <w:widowControl w:val="0"/>
        <w:shd w:val="clear"/>
        <w:kinsoku/>
        <w:wordWrap/>
        <w:overflowPunct/>
        <w:topLinePunct w:val="0"/>
        <w:autoSpaceDE/>
        <w:autoSpaceDN/>
        <w:bidi w:val="0"/>
        <w:adjustRightInd/>
        <w:snapToGrid w:val="0"/>
        <w:spacing w:line="240" w:lineRule="auto"/>
        <w:ind w:firstLine="560" w:firstLineChars="200"/>
        <w:textAlignment w:val="auto"/>
        <w:rPr>
          <w:rFonts w:hint="eastAsia" w:ascii="仿宋_GB2312" w:eastAsia="仿宋_GB2312" w:cs="仿宋"/>
          <w:sz w:val="28"/>
          <w:szCs w:val="28"/>
          <w:highlight w:val="none"/>
        </w:rPr>
      </w:pPr>
      <w:r>
        <w:rPr>
          <w:rFonts w:hint="eastAsia" w:ascii="仿宋_GB2312" w:eastAsia="仿宋_GB2312" w:cs="仿宋"/>
          <w:sz w:val="28"/>
          <w:szCs w:val="28"/>
          <w:highlight w:val="none"/>
        </w:rPr>
        <w:t>7</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签订地点：济南市章丘区</w:t>
      </w:r>
    </w:p>
    <w:p w14:paraId="38C40F47">
      <w:pPr>
        <w:pageBreakBefore w:val="0"/>
        <w:widowControl w:val="0"/>
        <w:shd w:val="clear"/>
        <w:kinsoku/>
        <w:wordWrap/>
        <w:overflowPunct/>
        <w:topLinePunct w:val="0"/>
        <w:autoSpaceDE/>
        <w:autoSpaceDN/>
        <w:bidi w:val="0"/>
        <w:adjustRightInd/>
        <w:snapToGrid w:val="0"/>
        <w:spacing w:line="240" w:lineRule="auto"/>
        <w:ind w:firstLine="560" w:firstLineChars="200"/>
        <w:textAlignment w:val="auto"/>
        <w:rPr>
          <w:rFonts w:hint="eastAsia" w:ascii="仿宋_GB2312" w:eastAsia="仿宋_GB2312" w:cs="仿宋"/>
          <w:sz w:val="28"/>
          <w:szCs w:val="28"/>
          <w:highlight w:val="none"/>
        </w:rPr>
      </w:pPr>
      <w:r>
        <w:rPr>
          <w:rFonts w:hint="eastAsia" w:ascii="仿宋_GB2312" w:eastAsia="仿宋_GB2312" w:cs="仿宋"/>
          <w:sz w:val="28"/>
          <w:szCs w:val="28"/>
          <w:highlight w:val="none"/>
        </w:rPr>
        <w:t>8</w:t>
      </w:r>
      <w:r>
        <w:rPr>
          <w:rFonts w:hint="eastAsia" w:ascii="仿宋_GB2312" w:eastAsia="仿宋_GB2312" w:cs="仿宋"/>
          <w:sz w:val="28"/>
          <w:szCs w:val="28"/>
          <w:highlight w:val="none"/>
          <w:lang w:val="en-US" w:eastAsia="zh-CN"/>
        </w:rPr>
        <w:t>.</w:t>
      </w:r>
      <w:r>
        <w:rPr>
          <w:rFonts w:hint="eastAsia" w:ascii="仿宋_GB2312" w:eastAsia="仿宋_GB2312" w:cs="仿宋"/>
          <w:sz w:val="28"/>
          <w:szCs w:val="28"/>
          <w:highlight w:val="none"/>
        </w:rPr>
        <w:t>本合同一式六份，甲方四份，乙方两份，均具同等法律效力。</w:t>
      </w:r>
    </w:p>
    <w:bookmarkEnd w:id="151"/>
    <w:p w14:paraId="44441446">
      <w:pPr>
        <w:pageBreakBefore w:val="0"/>
        <w:widowControl w:val="0"/>
        <w:shd w:val="clear"/>
        <w:kinsoku/>
        <w:wordWrap/>
        <w:overflowPunct/>
        <w:topLinePunct w:val="0"/>
        <w:autoSpaceDE/>
        <w:autoSpaceDN/>
        <w:bidi w:val="0"/>
        <w:adjustRightInd/>
        <w:snapToGrid w:val="0"/>
        <w:spacing w:line="240" w:lineRule="auto"/>
        <w:textAlignment w:val="auto"/>
        <w:rPr>
          <w:rFonts w:hint="eastAsia" w:ascii="仿宋_GB2312" w:eastAsia="仿宋_GB2312" w:cs="仿宋"/>
          <w:sz w:val="28"/>
          <w:szCs w:val="28"/>
          <w:highlight w:val="none"/>
          <w:lang w:val="en-US" w:eastAsia="zh-CN"/>
        </w:rPr>
      </w:pPr>
    </w:p>
    <w:p w14:paraId="52455473">
      <w:pPr>
        <w:pageBreakBefore w:val="0"/>
        <w:widowControl w:val="0"/>
        <w:shd w:val="clear"/>
        <w:kinsoku/>
        <w:wordWrap/>
        <w:overflowPunct/>
        <w:topLinePunct w:val="0"/>
        <w:autoSpaceDE/>
        <w:autoSpaceDN/>
        <w:bidi w:val="0"/>
        <w:adjustRightInd/>
        <w:snapToGrid w:val="0"/>
        <w:spacing w:line="240" w:lineRule="auto"/>
        <w:textAlignment w:val="auto"/>
        <w:rPr>
          <w:rFonts w:hint="eastAsia" w:ascii="仿宋_GB2312" w:eastAsia="仿宋_GB2312" w:cs="仿宋"/>
          <w:sz w:val="28"/>
          <w:szCs w:val="28"/>
          <w:highlight w:val="none"/>
          <w:lang w:val="en-US" w:eastAsia="zh-CN"/>
        </w:rPr>
      </w:pPr>
      <w:r>
        <w:rPr>
          <w:rFonts w:hint="eastAsia" w:ascii="仿宋_GB2312" w:eastAsia="仿宋_GB2312" w:cs="仿宋"/>
          <w:sz w:val="28"/>
          <w:szCs w:val="28"/>
          <w:highlight w:val="none"/>
          <w:lang w:val="en-US" w:eastAsia="zh-CN"/>
        </w:rPr>
        <w:t>合同</w:t>
      </w:r>
      <w:r>
        <w:rPr>
          <w:rFonts w:hint="eastAsia" w:ascii="仿宋_GB2312" w:eastAsia="仿宋_GB2312" w:cs="仿宋"/>
          <w:sz w:val="28"/>
          <w:szCs w:val="28"/>
          <w:highlight w:val="none"/>
        </w:rPr>
        <w:t>附件：1.</w:t>
      </w:r>
      <w:r>
        <w:rPr>
          <w:rFonts w:hint="eastAsia" w:ascii="仿宋_GB2312" w:eastAsia="仿宋_GB2312" w:cs="仿宋"/>
          <w:sz w:val="28"/>
          <w:szCs w:val="28"/>
          <w:highlight w:val="none"/>
          <w:lang w:val="en-US" w:eastAsia="zh-CN"/>
        </w:rPr>
        <w:t>技术协议</w:t>
      </w:r>
    </w:p>
    <w:p w14:paraId="7EBC6209">
      <w:pPr>
        <w:pageBreakBefore w:val="0"/>
        <w:widowControl w:val="0"/>
        <w:shd w:val="clear"/>
        <w:kinsoku/>
        <w:wordWrap/>
        <w:overflowPunct/>
        <w:topLinePunct w:val="0"/>
        <w:autoSpaceDE/>
        <w:autoSpaceDN/>
        <w:bidi w:val="0"/>
        <w:adjustRightInd/>
        <w:snapToGrid w:val="0"/>
        <w:spacing w:line="240" w:lineRule="auto"/>
        <w:ind w:firstLine="1400" w:firstLineChars="500"/>
        <w:textAlignment w:val="auto"/>
        <w:rPr>
          <w:rFonts w:hint="default" w:eastAsia="宋体"/>
          <w:highlight w:val="none"/>
          <w:lang w:val="en-US" w:eastAsia="zh-CN"/>
        </w:rPr>
      </w:pPr>
      <w:r>
        <w:rPr>
          <w:rFonts w:hint="eastAsia" w:ascii="仿宋_GB2312" w:eastAsia="仿宋_GB2312" w:cs="仿宋"/>
          <w:sz w:val="28"/>
          <w:szCs w:val="28"/>
          <w:highlight w:val="none"/>
          <w:lang w:val="en-US" w:eastAsia="zh-CN"/>
        </w:rPr>
        <w:t>2.</w:t>
      </w:r>
      <w:r>
        <w:rPr>
          <w:rFonts w:hint="eastAsia" w:ascii="仿宋_GB2312" w:eastAsia="仿宋_GB2312" w:cs="仿宋"/>
          <w:sz w:val="28"/>
          <w:szCs w:val="28"/>
          <w:highlight w:val="none"/>
        </w:rPr>
        <w:t>廉洁协议书</w:t>
      </w:r>
    </w:p>
    <w:p w14:paraId="7E5E4457">
      <w:pPr>
        <w:shd w:val="clear"/>
        <w:snapToGrid w:val="0"/>
        <w:spacing w:line="360" w:lineRule="auto"/>
        <w:ind w:firstLine="560" w:firstLineChars="200"/>
        <w:rPr>
          <w:rFonts w:hint="eastAsia" w:ascii="仿宋_GB2312" w:eastAsia="仿宋_GB2312" w:cs="仿宋"/>
          <w:sz w:val="28"/>
          <w:szCs w:val="28"/>
          <w:highlight w:val="none"/>
        </w:rPr>
      </w:pPr>
    </w:p>
    <w:p w14:paraId="2816D0F8">
      <w:pPr>
        <w:shd w:val="clear"/>
        <w:snapToGrid w:val="0"/>
        <w:spacing w:line="360" w:lineRule="auto"/>
        <w:ind w:firstLine="480" w:firstLineChars="200"/>
        <w:jc w:val="center"/>
        <w:rPr>
          <w:rFonts w:hint="eastAsia" w:ascii="仿宋_GB2312" w:eastAsia="仿宋_GB2312" w:cs="仿宋"/>
          <w:sz w:val="24"/>
          <w:highlight w:val="none"/>
        </w:rPr>
      </w:pPr>
    </w:p>
    <w:tbl>
      <w:tblPr>
        <w:tblStyle w:val="46"/>
        <w:tblW w:w="9875"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5399"/>
        <w:gridCol w:w="4476"/>
      </w:tblGrid>
      <w:tr w14:paraId="2455F31E">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1153" w:hRule="atLeast"/>
          <w:jc w:val="center"/>
        </w:trPr>
        <w:tc>
          <w:tcPr>
            <w:tcW w:w="5399" w:type="dxa"/>
            <w:noWrap w:val="0"/>
            <w:vAlign w:val="center"/>
          </w:tcPr>
          <w:p w14:paraId="5076AE55">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 xml:space="preserve">甲方（盖章）：山东济钢环保新材料有限公司 </w:t>
            </w:r>
          </w:p>
        </w:tc>
        <w:tc>
          <w:tcPr>
            <w:tcW w:w="4476" w:type="dxa"/>
            <w:noWrap w:val="0"/>
            <w:vAlign w:val="center"/>
          </w:tcPr>
          <w:p w14:paraId="3B44C605">
            <w:pPr>
              <w:keepLines/>
              <w:shd w:val="clear"/>
              <w:tabs>
                <w:tab w:val="left" w:pos="180"/>
                <w:tab w:val="left" w:pos="4320"/>
                <w:tab w:val="left" w:pos="5040"/>
                <w:tab w:val="right" w:pos="8640"/>
              </w:tabs>
              <w:spacing w:before="156" w:beforeLines="50" w:after="156" w:afterLines="50"/>
              <w:ind w:left="1605" w:hanging="1605" w:hangingChars="698"/>
              <w:rPr>
                <w:rFonts w:hint="eastAsia" w:ascii="仿宋_GB2312" w:eastAsia="仿宋_GB2312" w:cs="仿宋"/>
                <w:b/>
                <w:spacing w:val="-5"/>
                <w:sz w:val="24"/>
                <w:highlight w:val="none"/>
                <w:lang w:bidi="he-IL"/>
              </w:rPr>
            </w:pPr>
            <w:r>
              <w:rPr>
                <w:rFonts w:hint="eastAsia" w:ascii="仿宋_GB2312" w:eastAsia="仿宋_GB2312" w:cs="仿宋"/>
                <w:spacing w:val="-5"/>
                <w:sz w:val="24"/>
                <w:highlight w:val="none"/>
                <w:lang w:bidi="he-IL"/>
              </w:rPr>
              <w:t>乙方（盖章）：</w:t>
            </w:r>
            <w:r>
              <w:rPr>
                <w:rFonts w:hint="eastAsia" w:ascii="仿宋_GB2312" w:eastAsia="仿宋_GB2312" w:cs="仿宋"/>
                <w:b/>
                <w:spacing w:val="-5"/>
                <w:sz w:val="24"/>
                <w:highlight w:val="none"/>
                <w:lang w:bidi="he-IL"/>
              </w:rPr>
              <w:t xml:space="preserve"> </w:t>
            </w:r>
          </w:p>
        </w:tc>
      </w:tr>
      <w:tr w14:paraId="6256D901">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922" w:hRule="atLeast"/>
          <w:jc w:val="center"/>
        </w:trPr>
        <w:tc>
          <w:tcPr>
            <w:tcW w:w="5399" w:type="dxa"/>
            <w:noWrap w:val="0"/>
            <w:vAlign w:val="center"/>
          </w:tcPr>
          <w:p w14:paraId="1A0D45A7">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 xml:space="preserve">委托代理人（签字）： </w:t>
            </w:r>
          </w:p>
        </w:tc>
        <w:tc>
          <w:tcPr>
            <w:tcW w:w="4476" w:type="dxa"/>
            <w:noWrap w:val="0"/>
            <w:vAlign w:val="center"/>
          </w:tcPr>
          <w:p w14:paraId="078D43D4">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委托代理人（签字）：</w:t>
            </w:r>
          </w:p>
        </w:tc>
      </w:tr>
      <w:tr w14:paraId="6DFA12E2">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74443FE0">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开户行: 中国民生银行济南章丘支行</w:t>
            </w:r>
          </w:p>
        </w:tc>
        <w:tc>
          <w:tcPr>
            <w:tcW w:w="4476" w:type="dxa"/>
            <w:noWrap w:val="0"/>
            <w:vAlign w:val="center"/>
          </w:tcPr>
          <w:p w14:paraId="3702FA65">
            <w:pPr>
              <w:keepLines/>
              <w:shd w:val="clear"/>
              <w:tabs>
                <w:tab w:val="left" w:pos="720"/>
                <w:tab w:val="left" w:pos="3780"/>
                <w:tab w:val="left" w:pos="4500"/>
                <w:tab w:val="right" w:pos="8640"/>
              </w:tabs>
              <w:spacing w:line="360" w:lineRule="auto"/>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开户行:</w:t>
            </w:r>
            <w:r>
              <w:rPr>
                <w:rFonts w:hint="eastAsia" w:ascii="仿宋_GB2312" w:eastAsia="仿宋_GB2312"/>
                <w:sz w:val="24"/>
                <w:highlight w:val="none"/>
              </w:rPr>
              <w:t xml:space="preserve"> </w:t>
            </w:r>
          </w:p>
        </w:tc>
      </w:tr>
      <w:tr w14:paraId="644DD106">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533B9EF1">
            <w:pPr>
              <w:shd w:val="clear"/>
              <w:spacing w:line="360" w:lineRule="auto"/>
              <w:ind w:right="348" w:rightChars="145"/>
              <w:rPr>
                <w:rFonts w:hint="eastAsia" w:ascii="仿宋_GB2312" w:eastAsia="仿宋_GB2312" w:cs="仿宋"/>
                <w:sz w:val="24"/>
                <w:highlight w:val="none"/>
              </w:rPr>
            </w:pPr>
            <w:r>
              <w:rPr>
                <w:rFonts w:hint="eastAsia" w:ascii="仿宋_GB2312" w:eastAsia="仿宋_GB2312" w:cs="仿宋"/>
                <w:sz w:val="24"/>
                <w:highlight w:val="none"/>
              </w:rPr>
              <w:t>账号：609055119</w:t>
            </w:r>
          </w:p>
        </w:tc>
        <w:tc>
          <w:tcPr>
            <w:tcW w:w="4476" w:type="dxa"/>
            <w:noWrap w:val="0"/>
            <w:vAlign w:val="center"/>
          </w:tcPr>
          <w:p w14:paraId="689F35A4">
            <w:pPr>
              <w:shd w:val="clear"/>
              <w:spacing w:line="240" w:lineRule="exact"/>
              <w:rPr>
                <w:rFonts w:hint="eastAsia" w:ascii="仿宋_GB2312" w:eastAsia="仿宋_GB2312" w:cs="仿宋"/>
                <w:spacing w:val="-5"/>
                <w:sz w:val="24"/>
                <w:highlight w:val="none"/>
                <w:lang w:bidi="he-IL"/>
              </w:rPr>
            </w:pPr>
            <w:r>
              <w:rPr>
                <w:rFonts w:hint="eastAsia" w:ascii="仿宋_GB2312" w:eastAsia="仿宋_GB2312" w:cs="仿宋"/>
                <w:sz w:val="24"/>
                <w:highlight w:val="none"/>
              </w:rPr>
              <w:t>账号</w:t>
            </w:r>
            <w:r>
              <w:rPr>
                <w:rFonts w:hint="eastAsia" w:ascii="仿宋_GB2312" w:eastAsia="仿宋_GB2312" w:cs="仿宋"/>
                <w:spacing w:val="-5"/>
                <w:sz w:val="24"/>
                <w:highlight w:val="none"/>
                <w:lang w:bidi="he-IL"/>
              </w:rPr>
              <w:t>：</w:t>
            </w:r>
          </w:p>
        </w:tc>
      </w:tr>
      <w:tr w14:paraId="11A9FDE9">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6EAB9626">
            <w:pPr>
              <w:keepLines/>
              <w:shd w:val="clear"/>
              <w:tabs>
                <w:tab w:val="left" w:pos="720"/>
                <w:tab w:val="left" w:pos="4320"/>
                <w:tab w:val="left" w:pos="5040"/>
                <w:tab w:val="right" w:pos="8640"/>
              </w:tabs>
              <w:spacing w:line="360" w:lineRule="auto"/>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税务登记证号：</w:t>
            </w:r>
            <w:r>
              <w:rPr>
                <w:rFonts w:hint="eastAsia" w:ascii="仿宋_GB2312" w:eastAsia="仿宋_GB2312" w:cs="仿宋"/>
                <w:sz w:val="24"/>
                <w:highlight w:val="none"/>
              </w:rPr>
              <w:t>91370181MA3MJQRU4Y</w:t>
            </w:r>
          </w:p>
        </w:tc>
        <w:tc>
          <w:tcPr>
            <w:tcW w:w="4476" w:type="dxa"/>
            <w:noWrap w:val="0"/>
            <w:vAlign w:val="center"/>
          </w:tcPr>
          <w:p w14:paraId="2A3C1B91">
            <w:pPr>
              <w:keepLines/>
              <w:shd w:val="clear"/>
              <w:tabs>
                <w:tab w:val="left" w:pos="720"/>
                <w:tab w:val="left" w:pos="4320"/>
                <w:tab w:val="left" w:pos="5040"/>
                <w:tab w:val="right" w:pos="8640"/>
              </w:tabs>
              <w:spacing w:line="360" w:lineRule="auto"/>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税务登记证号：</w:t>
            </w:r>
          </w:p>
        </w:tc>
      </w:tr>
      <w:tr w14:paraId="32FAAB77">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5399" w:type="dxa"/>
            <w:noWrap w:val="0"/>
            <w:vAlign w:val="center"/>
          </w:tcPr>
          <w:p w14:paraId="1384806B">
            <w:pPr>
              <w:keepLines/>
              <w:shd w:val="clear"/>
              <w:tabs>
                <w:tab w:val="left" w:pos="720"/>
                <w:tab w:val="left" w:pos="4320"/>
                <w:tab w:val="left" w:pos="5040"/>
                <w:tab w:val="right" w:pos="8640"/>
              </w:tabs>
              <w:spacing w:line="360" w:lineRule="auto"/>
              <w:rPr>
                <w:rFonts w:hint="eastAsia" w:ascii="仿宋_GB2312" w:eastAsia="仿宋_GB2312" w:cs="仿宋"/>
                <w:b/>
                <w:spacing w:val="-10"/>
                <w:sz w:val="24"/>
                <w:highlight w:val="none"/>
                <w:lang w:bidi="he-IL"/>
              </w:rPr>
            </w:pPr>
            <w:r>
              <w:rPr>
                <w:rFonts w:hint="eastAsia" w:ascii="仿宋_GB2312" w:eastAsia="仿宋_GB2312" w:cs="仿宋"/>
                <w:spacing w:val="-5"/>
                <w:sz w:val="24"/>
                <w:highlight w:val="none"/>
                <w:lang w:bidi="he-IL"/>
              </w:rPr>
              <w:t>地址：</w:t>
            </w:r>
            <w:r>
              <w:rPr>
                <w:rFonts w:hint="eastAsia" w:ascii="仿宋_GB2312" w:eastAsia="仿宋_GB2312" w:cs="仿宋"/>
                <w:sz w:val="24"/>
                <w:highlight w:val="none"/>
              </w:rPr>
              <w:t>山东省济南市章丘区官庄街道青野村东</w:t>
            </w:r>
          </w:p>
        </w:tc>
        <w:tc>
          <w:tcPr>
            <w:tcW w:w="4476" w:type="dxa"/>
            <w:noWrap w:val="0"/>
            <w:vAlign w:val="top"/>
          </w:tcPr>
          <w:p w14:paraId="17BFF126">
            <w:pPr>
              <w:keepLines/>
              <w:shd w:val="clear"/>
              <w:tabs>
                <w:tab w:val="left" w:pos="720"/>
                <w:tab w:val="left" w:pos="4320"/>
                <w:tab w:val="left" w:pos="5040"/>
                <w:tab w:val="right" w:pos="8640"/>
              </w:tabs>
              <w:spacing w:line="360" w:lineRule="auto"/>
              <w:rPr>
                <w:rFonts w:hint="eastAsia" w:ascii="仿宋_GB2312" w:eastAsia="仿宋_GB2312" w:cs="仿宋"/>
                <w:b/>
                <w:spacing w:val="-10"/>
                <w:sz w:val="24"/>
                <w:highlight w:val="none"/>
                <w:lang w:bidi="he-IL"/>
              </w:rPr>
            </w:pPr>
            <w:r>
              <w:rPr>
                <w:rFonts w:hint="eastAsia" w:ascii="仿宋_GB2312" w:eastAsia="仿宋_GB2312" w:cs="仿宋"/>
                <w:spacing w:val="-5"/>
                <w:sz w:val="24"/>
                <w:highlight w:val="none"/>
                <w:lang w:bidi="he-IL"/>
              </w:rPr>
              <w:t>地址：</w:t>
            </w:r>
            <w:r>
              <w:rPr>
                <w:rFonts w:hint="eastAsia" w:ascii="仿宋_GB2312" w:eastAsia="仿宋_GB2312" w:cs="仿宋"/>
                <w:b/>
                <w:spacing w:val="-10"/>
                <w:sz w:val="24"/>
                <w:highlight w:val="none"/>
                <w:lang w:bidi="he-IL"/>
              </w:rPr>
              <w:t xml:space="preserve"> </w:t>
            </w:r>
          </w:p>
        </w:tc>
      </w:tr>
      <w:tr w14:paraId="0842E4D1">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9875" w:type="dxa"/>
            <w:gridSpan w:val="2"/>
            <w:noWrap w:val="0"/>
            <w:vAlign w:val="center"/>
          </w:tcPr>
          <w:p w14:paraId="13E22B69">
            <w:pPr>
              <w:keepLines/>
              <w:shd w:val="clear"/>
              <w:tabs>
                <w:tab w:val="left" w:pos="720"/>
                <w:tab w:val="left" w:pos="4320"/>
                <w:tab w:val="left" w:pos="5040"/>
                <w:tab w:val="right" w:pos="8640"/>
              </w:tabs>
              <w:spacing w:line="360" w:lineRule="auto"/>
              <w:jc w:val="center"/>
              <w:rPr>
                <w:rFonts w:hint="eastAsia" w:ascii="仿宋_GB2312" w:eastAsia="仿宋_GB2312" w:cs="仿宋"/>
                <w:spacing w:val="-5"/>
                <w:sz w:val="24"/>
                <w:highlight w:val="none"/>
                <w:lang w:bidi="he-IL"/>
              </w:rPr>
            </w:pPr>
            <w:r>
              <w:rPr>
                <w:rFonts w:hint="eastAsia" w:ascii="仿宋_GB2312" w:eastAsia="仿宋_GB2312" w:cs="仿宋"/>
                <w:spacing w:val="-5"/>
                <w:sz w:val="24"/>
                <w:highlight w:val="none"/>
                <w:lang w:bidi="he-IL"/>
              </w:rPr>
              <w:t xml:space="preserve">                                签订日期：   年   月   日</w:t>
            </w:r>
          </w:p>
        </w:tc>
      </w:tr>
    </w:tbl>
    <w:p w14:paraId="3AB2076E">
      <w:pPr>
        <w:pStyle w:val="58"/>
        <w:shd w:val="clear"/>
        <w:ind w:left="0" w:firstLine="482" w:firstLineChars="200"/>
        <w:jc w:val="left"/>
        <w:rPr>
          <w:szCs w:val="22"/>
          <w:highlight w:val="none"/>
        </w:rPr>
      </w:pPr>
      <w:r>
        <w:rPr>
          <w:rFonts w:hint="eastAsia" w:cs="仿宋"/>
          <w:szCs w:val="20"/>
          <w:highlight w:val="none"/>
        </w:rPr>
        <w:t>注：</w:t>
      </w:r>
      <w:r>
        <w:rPr>
          <w:rFonts w:hint="eastAsia"/>
          <w:szCs w:val="22"/>
          <w:highlight w:val="none"/>
        </w:rPr>
        <w:t>招标文件中的合同条款为主要条款，双方的权利义务以未来签订的商务合同为准。未来签订的商务合同的条款存在与本招标文件不一致的地方，但不会对实质性内容进行改变。</w:t>
      </w:r>
    </w:p>
    <w:bookmarkEnd w:id="144"/>
    <w:p w14:paraId="1B5CCF35">
      <w:pPr>
        <w:pStyle w:val="58"/>
        <w:shd w:val="clear"/>
        <w:rPr>
          <w:rFonts w:hint="eastAsia"/>
          <w:highlight w:val="none"/>
        </w:rPr>
      </w:pPr>
      <w:bookmarkStart w:id="154" w:name="_Toc508871751"/>
    </w:p>
    <w:p w14:paraId="7E88A62B">
      <w:pPr>
        <w:pStyle w:val="58"/>
        <w:shd w:val="clear"/>
        <w:rPr>
          <w:rFonts w:hint="eastAsia"/>
          <w:highlight w:val="none"/>
        </w:rPr>
      </w:pPr>
    </w:p>
    <w:p w14:paraId="4079E2D4">
      <w:pPr>
        <w:pStyle w:val="58"/>
        <w:shd w:val="clear"/>
        <w:rPr>
          <w:rFonts w:hint="eastAsia"/>
          <w:highlight w:val="none"/>
        </w:rPr>
      </w:pPr>
    </w:p>
    <w:p w14:paraId="5D7AD777">
      <w:pPr>
        <w:pStyle w:val="58"/>
        <w:shd w:val="clear"/>
        <w:rPr>
          <w:rFonts w:hint="eastAsia"/>
          <w:highlight w:val="none"/>
        </w:rPr>
      </w:pPr>
    </w:p>
    <w:bookmarkEnd w:id="154"/>
    <w:p w14:paraId="0B74593B">
      <w:pPr>
        <w:pStyle w:val="58"/>
        <w:shd w:val="clear"/>
        <w:rPr>
          <w:rFonts w:hint="default" w:ascii="仿宋_GB2312" w:eastAsia="仿宋_GB2312"/>
          <w:highlight w:val="none"/>
          <w:lang w:val="en-US" w:eastAsia="zh-CN"/>
        </w:rPr>
      </w:pPr>
      <w:r>
        <w:rPr>
          <w:rFonts w:hint="eastAsia" w:ascii="仿宋_GB2312" w:eastAsia="仿宋_GB2312"/>
          <w:highlight w:val="none"/>
          <w:lang w:val="en-US" w:eastAsia="zh-CN"/>
        </w:rPr>
        <w:t>附件1</w:t>
      </w:r>
    </w:p>
    <w:p w14:paraId="51B6EA9F">
      <w:pPr>
        <w:shd w:val="clear"/>
        <w:spacing w:line="400" w:lineRule="exact"/>
        <w:ind w:firstLine="3654" w:firstLineChars="1300"/>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技术协议</w:t>
      </w:r>
    </w:p>
    <w:p w14:paraId="7AF787E5">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1、依据电机修理的行业标准、甲方的技术标准，保证质量、按期完成电机</w:t>
      </w:r>
      <w:r>
        <w:rPr>
          <w:rFonts w:hint="eastAsia" w:ascii="仿宋_GB2312" w:hAnsi="仿宋_GB2312" w:eastAsia="仿宋_GB2312" w:cs="仿宋_GB2312"/>
          <w:color w:val="000000"/>
          <w:sz w:val="28"/>
          <w:szCs w:val="28"/>
          <w:highlight w:val="none"/>
          <w:lang w:val="en-US" w:eastAsia="zh-CN"/>
        </w:rPr>
        <w:t>维修保养工作</w:t>
      </w:r>
      <w:r>
        <w:rPr>
          <w:rFonts w:hint="eastAsia" w:ascii="仿宋_GB2312" w:hAnsi="仿宋_GB2312" w:eastAsia="仿宋_GB2312" w:cs="仿宋_GB2312"/>
          <w:color w:val="000000"/>
          <w:sz w:val="28"/>
          <w:szCs w:val="28"/>
          <w:highlight w:val="none"/>
        </w:rPr>
        <w:t>。</w:t>
      </w:r>
    </w:p>
    <w:p w14:paraId="395FF3AF">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2、接到电机修理通知后，及时到甲方电机安装或指定地点将电机拉走，修理完毕后</w:t>
      </w:r>
      <w:r>
        <w:rPr>
          <w:rFonts w:hint="eastAsia" w:ascii="仿宋_GB2312" w:hAnsi="仿宋_GB2312" w:eastAsia="仿宋_GB2312" w:cs="仿宋_GB2312"/>
          <w:color w:val="000000"/>
          <w:sz w:val="28"/>
          <w:szCs w:val="28"/>
          <w:highlight w:val="none"/>
          <w:lang w:val="en-US" w:eastAsia="zh-CN"/>
        </w:rPr>
        <w:t>悬挂维修时间标牌</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及时送至指定的电机安装或存放地点</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同时提供维修试验报告</w:t>
      </w:r>
      <w:r>
        <w:rPr>
          <w:rFonts w:hint="eastAsia" w:ascii="仿宋_GB2312" w:hAnsi="仿宋_GB2312" w:eastAsia="仿宋_GB2312" w:cs="仿宋_GB2312"/>
          <w:color w:val="000000"/>
          <w:sz w:val="28"/>
          <w:szCs w:val="28"/>
          <w:highlight w:val="none"/>
        </w:rPr>
        <w:t>。</w:t>
      </w:r>
    </w:p>
    <w:p w14:paraId="44DBFB82">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3、电机维修应在</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日内完成，如遇甲方紧急抢修时，</w:t>
      </w:r>
      <w:r>
        <w:rPr>
          <w:rFonts w:hint="eastAsia" w:ascii="仿宋_GB2312" w:hAnsi="仿宋_GB2312" w:eastAsia="仿宋_GB2312" w:cs="仿宋_GB2312"/>
          <w:color w:val="000000"/>
          <w:sz w:val="28"/>
          <w:szCs w:val="28"/>
          <w:highlight w:val="none"/>
          <w:lang w:val="en-US" w:eastAsia="zh-CN"/>
        </w:rPr>
        <w:t>乙方</w:t>
      </w:r>
      <w:r>
        <w:rPr>
          <w:rFonts w:hint="eastAsia" w:ascii="仿宋_GB2312" w:hAnsi="仿宋_GB2312" w:eastAsia="仿宋_GB2312" w:cs="仿宋_GB2312"/>
          <w:color w:val="000000"/>
          <w:sz w:val="28"/>
          <w:szCs w:val="28"/>
          <w:highlight w:val="none"/>
        </w:rPr>
        <w:t>保证24小时不间断维修，尽早完成维修工作。</w:t>
      </w:r>
    </w:p>
    <w:p w14:paraId="208D199B">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4、在更换定子线圈时，线圈应为铜质线圈，材料满足国家技术标准，乙方对线圈的匝间、相间、对地绝缘试验必须按电机线圈所要求的国家行业标准等级进行试验</w:t>
      </w:r>
      <w:r>
        <w:rPr>
          <w:rFonts w:hint="eastAsia" w:ascii="仿宋_GB2312" w:hAnsi="仿宋_GB2312" w:eastAsia="仿宋_GB2312" w:cs="仿宋_GB2312"/>
          <w:color w:val="000000"/>
          <w:sz w:val="28"/>
          <w:szCs w:val="28"/>
          <w:highlight w:val="none"/>
          <w:lang w:val="en-US" w:eastAsia="zh-CN"/>
        </w:rPr>
        <w:t>并出具实验测试报告</w:t>
      </w:r>
      <w:r>
        <w:rPr>
          <w:rFonts w:hint="eastAsia" w:ascii="仿宋_GB2312" w:hAnsi="仿宋_GB2312" w:eastAsia="仿宋_GB2312" w:cs="仿宋_GB2312"/>
          <w:color w:val="000000"/>
          <w:sz w:val="28"/>
          <w:szCs w:val="28"/>
          <w:highlight w:val="none"/>
        </w:rPr>
        <w:t>，以确保线圈下线后的质量要求，不得随意更改原装线圈线径的尺寸，电机所用的材料属国家正品生产厂出品的合格产品</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zh-CN"/>
        </w:rPr>
        <w:t>15KW及以上电机与二级以上电机绝缘纸、高阻带、低阻带、浸漆工艺等绝缘材料采用东方绝缘品牌、其余可选采用衡阳绝缘厂等品牌；轴承选用斯凯孚品牌轴承</w:t>
      </w:r>
      <w:r>
        <w:rPr>
          <w:rFonts w:hint="eastAsia" w:ascii="仿宋_GB2312" w:hAnsi="仿宋_GB2312" w:eastAsia="仿宋_GB2312" w:cs="仿宋_GB2312"/>
          <w:color w:val="000000"/>
          <w:sz w:val="28"/>
          <w:szCs w:val="28"/>
          <w:highlight w:val="none"/>
        </w:rPr>
        <w:t>。</w:t>
      </w:r>
    </w:p>
    <w:p w14:paraId="7436A0D0">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潜水泵电机的检修包括电机的检修、更换防护等级IP68及以上的密封（密封性必须达到原厂家出厂要求）。考虑到外接电缆时的密封防水要求，潜水泵电机在修理时，必须包括将电机引线用足够功率的引线引出电缆</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长度不低于设备长度的2倍</w:t>
      </w:r>
      <w:r>
        <w:rPr>
          <w:rFonts w:hint="eastAsia" w:ascii="仿宋_GB2312" w:hAnsi="仿宋_GB2312" w:eastAsia="仿宋_GB2312" w:cs="仿宋_GB2312"/>
          <w:color w:val="000000"/>
          <w:sz w:val="28"/>
          <w:szCs w:val="28"/>
          <w:highlight w:val="none"/>
        </w:rPr>
        <w:t>。</w:t>
      </w:r>
    </w:p>
    <w:p w14:paraId="5F237F59">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6、电机、潜水泵修理后，设备外壳必须清理如新</w:t>
      </w:r>
      <w:r>
        <w:rPr>
          <w:rFonts w:hint="eastAsia" w:ascii="仿宋_GB2312" w:hAnsi="仿宋_GB2312" w:eastAsia="仿宋_GB2312" w:cs="仿宋_GB2312"/>
          <w:color w:val="000000"/>
          <w:sz w:val="28"/>
          <w:szCs w:val="28"/>
          <w:highlight w:val="none"/>
          <w:lang w:val="en-US" w:eastAsia="zh-CN"/>
        </w:rPr>
        <w:t>或重新喷漆</w:t>
      </w:r>
      <w:r>
        <w:rPr>
          <w:rFonts w:hint="eastAsia" w:ascii="仿宋_GB2312" w:hAnsi="仿宋_GB2312" w:eastAsia="仿宋_GB2312" w:cs="仿宋_GB2312"/>
          <w:color w:val="000000"/>
          <w:sz w:val="28"/>
          <w:szCs w:val="28"/>
          <w:highlight w:val="none"/>
        </w:rPr>
        <w:t>。</w:t>
      </w:r>
    </w:p>
    <w:p w14:paraId="38F67EA4">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7、15KW及以上电机与二级以上电机绝缘纸、高阻带、低阻带、浸漆工艺等绝缘材料采用</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品牌；轴承选用</w:t>
      </w:r>
      <w:r>
        <w:rPr>
          <w:rFonts w:hint="eastAsia" w:ascii="仿宋_GB2312" w:hAnsi="仿宋_GB2312" w:eastAsia="仿宋_GB2312" w:cs="仿宋_GB2312"/>
          <w:b w:val="0"/>
          <w:bCs w:val="0"/>
          <w:color w:val="000000"/>
          <w:sz w:val="28"/>
          <w:szCs w:val="28"/>
          <w:highlight w:val="none"/>
          <w:lang w:val="en-US" w:eastAsia="zh-CN"/>
        </w:rPr>
        <w:t>*****</w:t>
      </w:r>
      <w:r>
        <w:rPr>
          <w:rFonts w:hint="eastAsia" w:ascii="仿宋_GB2312" w:hAnsi="仿宋_GB2312" w:eastAsia="仿宋_GB2312" w:cs="仿宋_GB2312"/>
          <w:color w:val="000000"/>
          <w:sz w:val="28"/>
          <w:szCs w:val="28"/>
          <w:highlight w:val="none"/>
        </w:rPr>
        <w:t>品牌轴承。</w:t>
      </w:r>
    </w:p>
    <w:p w14:paraId="3B7BBB8C">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8、电机维修后绝缘等级及防护等级应同原铭牌保持一致，经过静态试验测试合格，电机温升符合国家标准，空载电流不大于厂家出厂技术标准。</w:t>
      </w:r>
    </w:p>
    <w:p w14:paraId="5EFAF412">
      <w:pPr>
        <w:shd w:val="clear"/>
        <w:spacing w:line="40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9、22kW及以上电机质保期为九个月，22kW以下电机质保期为六个月，在质保期内发生由于检修质量问题造成电机损坏的，由乙方负责免费重新修理。</w:t>
      </w:r>
    </w:p>
    <w:p w14:paraId="6429526E">
      <w:pPr>
        <w:pStyle w:val="58"/>
        <w:shd w:val="clear"/>
        <w:rPr>
          <w:rFonts w:hint="eastAsia" w:ascii="仿宋_GB2312" w:eastAsia="仿宋_GB2312"/>
          <w:highlight w:val="none"/>
        </w:rPr>
      </w:pPr>
    </w:p>
    <w:p w14:paraId="331FAAFD">
      <w:pPr>
        <w:shd w:val="clear"/>
        <w:rPr>
          <w:rFonts w:hint="eastAsia" w:ascii="仿宋_GB2312" w:eastAsia="仿宋_GB2312" w:cs="仿宋"/>
          <w:sz w:val="28"/>
          <w:szCs w:val="28"/>
          <w:highlight w:val="none"/>
        </w:rPr>
      </w:pPr>
      <w:r>
        <w:rPr>
          <w:rFonts w:ascii="仿宋_GB2312" w:eastAsia="仿宋_GB2312"/>
          <w:highlight w:val="none"/>
        </w:rPr>
        <w:br w:type="page"/>
      </w:r>
    </w:p>
    <w:p w14:paraId="4FEC06E0">
      <w:pPr>
        <w:shd w:val="clear"/>
        <w:snapToGrid w:val="0"/>
        <w:spacing w:line="420" w:lineRule="exact"/>
        <w:ind w:firstLine="506" w:firstLineChars="181"/>
        <w:jc w:val="left"/>
        <w:rPr>
          <w:rFonts w:hint="eastAsia" w:ascii="仿宋_GB2312" w:eastAsia="仿宋_GB2312" w:cs="仿宋"/>
          <w:sz w:val="28"/>
          <w:szCs w:val="28"/>
          <w:highlight w:val="none"/>
        </w:rPr>
      </w:pPr>
      <w:r>
        <w:rPr>
          <w:rFonts w:hint="eastAsia" w:ascii="仿宋_GB2312" w:eastAsia="仿宋_GB2312" w:cs="仿宋"/>
          <w:sz w:val="28"/>
          <w:szCs w:val="28"/>
          <w:highlight w:val="none"/>
        </w:rPr>
        <w:t xml:space="preserve">附件 2              </w:t>
      </w:r>
    </w:p>
    <w:p w14:paraId="7ECCF0AF">
      <w:pPr>
        <w:keepNext w:val="0"/>
        <w:pageBreakBefore w:val="0"/>
        <w:shd w:val="clear"/>
        <w:kinsoku/>
        <w:overflowPunct/>
        <w:topLinePunct w:val="0"/>
        <w:bidi w:val="0"/>
        <w:spacing w:line="240" w:lineRule="exact"/>
        <w:jc w:val="center"/>
        <w:textAlignment w:val="auto"/>
        <w:rPr>
          <w:rFonts w:hint="eastAsia" w:ascii="黑体" w:hAnsi="宋体" w:eastAsia="黑体" w:cs="Times New Roman"/>
          <w:b/>
          <w:bCs/>
          <w:kern w:val="0"/>
          <w:sz w:val="24"/>
          <w:szCs w:val="24"/>
          <w:highlight w:val="none"/>
          <w:lang w:val="en-US" w:eastAsia="zh-CN" w:bidi="ar-SA"/>
        </w:rPr>
      </w:pPr>
      <w:r>
        <w:rPr>
          <w:rFonts w:hint="eastAsia" w:ascii="黑体" w:hAnsi="宋体" w:eastAsia="黑体" w:cs="Times New Roman"/>
          <w:b/>
          <w:bCs/>
          <w:kern w:val="0"/>
          <w:sz w:val="24"/>
          <w:szCs w:val="24"/>
          <w:highlight w:val="none"/>
          <w:lang w:val="en-US" w:eastAsia="zh-CN" w:bidi="ar-SA"/>
        </w:rPr>
        <w:t>廉洁协议书</w:t>
      </w:r>
    </w:p>
    <w:p w14:paraId="506A448C">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为规范甲乙双方在业务交往活动中的行为，严防在业务活动中发生违规违纪违法行为，经双方协商，达成廉洁协议如下：</w:t>
      </w:r>
    </w:p>
    <w:p w14:paraId="1BB68E6E">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第一条 甲乙双方共同责任</w:t>
      </w:r>
    </w:p>
    <w:p w14:paraId="3B899E5A">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1、严格遵守国家的法律法规及廉政建设有关规定。</w:t>
      </w:r>
    </w:p>
    <w:p w14:paraId="303927F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2、共同营造廉洁、诚信、公平、公正的业务交往环境。</w:t>
      </w:r>
    </w:p>
    <w:p w14:paraId="153A3238">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3、加强对有关人员的管理和教育，自觉抵制不廉洁行为。</w:t>
      </w:r>
    </w:p>
    <w:p w14:paraId="6A050E8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4、发现对方及及其人员在业务活动中有违反廉政规定的行为，有及时要求对方纠正，并向纪检监察机关或司法机关举报的权利和义务。</w:t>
      </w:r>
    </w:p>
    <w:p w14:paraId="7D9807EC">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第二条 甲方及其人员的责任</w:t>
      </w:r>
    </w:p>
    <w:p w14:paraId="2F8E833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1、禁止索要或接受乙方及其相关单位和人员提供的回扣、礼金、有价证劵、支付凭证、贵重物品等。</w:t>
      </w:r>
    </w:p>
    <w:p w14:paraId="59A28C06">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2、禁止在乙方及其相关单位报销任何应由甲方或个人支付的费用。</w:t>
      </w:r>
    </w:p>
    <w:p w14:paraId="36478299">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3、禁止在乙方及其相关单位投资入股，禁止向乙方单位及人员借款或委托买卖股票、债券等。</w:t>
      </w:r>
    </w:p>
    <w:p w14:paraId="6CFAE2A4">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4、禁止暗示、要求和接受乙方及其相关单位为其购买或装修住房，为婚丧嫁娶、配偶和子女的工作安排或上学等提供方便。</w:t>
      </w:r>
    </w:p>
    <w:p w14:paraId="1B0BA00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5、禁止接受乙方及其相关单位安排的宴请以及旅游、健身等娱乐活动。</w:t>
      </w:r>
    </w:p>
    <w:p w14:paraId="054E7F38">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6、禁止接受乙方及其相关单位购置或提供的通讯工具、交通工具和高档办公用品。</w:t>
      </w:r>
    </w:p>
    <w:p w14:paraId="5571EF78">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7、禁止通过乙方及其相关单位为其配偶、子女及他人谋取不正当利益。</w:t>
      </w:r>
    </w:p>
    <w:p w14:paraId="4772BAB0">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8、禁止在乙方或乙方相关单位兼职和领取兼职工资及报酬；禁止利用甲方的商业秘密谋取个人私利。</w:t>
      </w:r>
    </w:p>
    <w:p w14:paraId="559CDBC3">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9、禁止利用职权和工作之便向乙方提出上述各项禁止事项之外其它违背党规党纪、国家法律法规和本公司廉洁自律有关规定的事项或要求。</w:t>
      </w:r>
    </w:p>
    <w:p w14:paraId="68EA5A6A">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kern w:val="0"/>
          <w:sz w:val="21"/>
          <w:szCs w:val="21"/>
          <w:highlight w:val="none"/>
        </w:rPr>
        <w:t>10、</w:t>
      </w:r>
      <w:r>
        <w:rPr>
          <w:rFonts w:hint="eastAsia" w:ascii="宋体" w:hAnsi="宋体" w:eastAsia="宋体" w:cs="宋体"/>
          <w:b w:val="0"/>
          <w:bCs w:val="0"/>
          <w:kern w:val="0"/>
          <w:sz w:val="21"/>
          <w:szCs w:val="21"/>
          <w:highlight w:val="none"/>
        </w:rPr>
        <w:t>如乙方有知悉/怀疑甲方员工有违反上述规定的，欢迎与甲方纪委办联系。甲方设定专用电话</w:t>
      </w:r>
      <w:r>
        <w:rPr>
          <w:rFonts w:hint="eastAsia" w:ascii="宋体" w:hAnsi="宋体" w:eastAsia="宋体" w:cs="宋体"/>
          <w:b w:val="0"/>
          <w:bCs w:val="0"/>
          <w:kern w:val="0"/>
          <w:sz w:val="21"/>
          <w:szCs w:val="21"/>
          <w:highlight w:val="none"/>
          <w:lang w:val="en-US" w:eastAsia="zh-CN"/>
        </w:rPr>
        <w:t>0531-83790163</w:t>
      </w:r>
      <w:r>
        <w:rPr>
          <w:rFonts w:hint="eastAsia" w:ascii="宋体" w:hAnsi="宋体" w:eastAsia="宋体" w:cs="宋体"/>
          <w:b w:val="0"/>
          <w:bCs w:val="0"/>
          <w:kern w:val="0"/>
          <w:sz w:val="21"/>
          <w:szCs w:val="21"/>
          <w:highlight w:val="none"/>
        </w:rPr>
        <w:t>接受乙方的投诉</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甲方会对所有信息提供者及所提供的全部资料严格保密。</w:t>
      </w:r>
    </w:p>
    <w:p w14:paraId="110DDF8B">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第三条 乙方及其人员责任</w:t>
      </w:r>
    </w:p>
    <w:p w14:paraId="5E15CB4B">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1、禁止向甲方及其人员提供回扣、礼金、有价证劵、支付凭证、贵重物品等。</w:t>
      </w:r>
    </w:p>
    <w:p w14:paraId="4EB9C2C1">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2、禁止为甲方及其人员报销应由甲方或甲方个人支付的费用。</w:t>
      </w:r>
    </w:p>
    <w:p w14:paraId="61C51A3A">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3、禁止为甲方及其人员在乙方投资入股、个人借款等提供方便。</w:t>
      </w:r>
    </w:p>
    <w:p w14:paraId="7087F41D">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4、禁止为甲方及其人员购买或装修住房，为婚丧嫁娶、配偶和子女工作安排或上学等提供方便。</w:t>
      </w:r>
    </w:p>
    <w:p w14:paraId="1FB2A6D4">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5、禁止为甲方及其人员安排宴请以及旅游、健身、娱乐等活动。</w:t>
      </w:r>
    </w:p>
    <w:p w14:paraId="76D7AA89">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6、禁止为甲方及其人员购置或提供通讯工具、交通工具和高档办公用品。</w:t>
      </w:r>
    </w:p>
    <w:p w14:paraId="66F9106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7、禁止为甲方及其人员的配偶、子女及其它亲属谋取不正当利益提供方便。</w:t>
      </w:r>
    </w:p>
    <w:p w14:paraId="6A71385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8、禁止安排甲方人员在乙方或乙方相关企业兼职和领取兼职工资及报酬；禁止向甲方人员打探有关涉及甲方的商业秘密。</w:t>
      </w:r>
    </w:p>
    <w:p w14:paraId="432C6633">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9、甲方对涉嫌与甲方有关的不廉洁行为进行调查时，乙方有配合甲方提供证据、作证的义务</w:t>
      </w:r>
      <w:r>
        <w:rPr>
          <w:rFonts w:hint="eastAsia" w:ascii="宋体" w:hAnsi="宋体" w:eastAsia="宋体" w:cs="宋体"/>
          <w:kern w:val="0"/>
          <w:sz w:val="21"/>
          <w:szCs w:val="21"/>
          <w:highlight w:val="none"/>
          <w:lang w:eastAsia="zh-CN"/>
        </w:rPr>
        <w:t>。</w:t>
      </w:r>
    </w:p>
    <w:p w14:paraId="228DC1D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第四条 违约责任</w:t>
      </w:r>
    </w:p>
    <w:p w14:paraId="104CC4D2">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1、甲方及其人员有违反本协议第一条、第二条规定的，按照管理权限，依据有关纪律规定给予有关人员纪律处分或组织处理；涉嫌犯罪的，移交司法机关追究刑事责任。</w:t>
      </w:r>
    </w:p>
    <w:p w14:paraId="734D47E7">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及其人员有违反本协议第一条、第三条规定的，甲方有权依据本协议单方决定变更甲、乙双方所有合同中关于数额、履行期限等相关权利与义务的条款，且有权解除与乙方的所有协议、合同并不承担任何违约责任。甲方并有权要求乙方赔偿由此造成的甲方损失（包括直接损失、可得利益损失、律师费等）。涉嫌犯罪的，移交司法机关追究刑事责任。</w:t>
      </w:r>
    </w:p>
    <w:p w14:paraId="69B3E799">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第五条 本协议</w:t>
      </w:r>
      <w:r>
        <w:rPr>
          <w:rFonts w:hint="eastAsia" w:cs="宋体"/>
          <w:kern w:val="0"/>
          <w:sz w:val="21"/>
          <w:szCs w:val="21"/>
          <w:highlight w:val="none"/>
          <w:lang w:eastAsia="zh-CN"/>
        </w:rPr>
        <w:t>随主合同</w:t>
      </w:r>
      <w:r>
        <w:rPr>
          <w:rFonts w:hint="eastAsia" w:ascii="宋体" w:hAnsi="宋体" w:eastAsia="宋体" w:cs="宋体"/>
          <w:kern w:val="0"/>
          <w:sz w:val="21"/>
          <w:szCs w:val="21"/>
          <w:highlight w:val="none"/>
        </w:rPr>
        <w:t>经双方签署后生效</w:t>
      </w:r>
    </w:p>
    <w:p w14:paraId="1BAE7F6E">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甲乙双方通过招标或其它方式签订业务合同时，必须签署本协议。本协议作为业务合同的附件，与合同具有同等效力；如双方未签订合同，本协议独立有效。</w:t>
      </w:r>
    </w:p>
    <w:p w14:paraId="7FAEE37E">
      <w:pPr>
        <w:keepNext w:val="0"/>
        <w:pageBreakBefore w:val="0"/>
        <w:widowControl w:val="0"/>
        <w:shd w:val="clear"/>
        <w:kinsoku/>
        <w:overflowPunct/>
        <w:topLinePunct w:val="0"/>
        <w:bidi w:val="0"/>
        <w:spacing w:line="240" w:lineRule="exac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第六条 甲乙双方及其人员在合同履行完毕后，发现在合同执行期间有违反本协议规定的行为，仍按本协议规定处理。</w:t>
      </w:r>
    </w:p>
    <w:p w14:paraId="027195FC">
      <w:pPr>
        <w:pStyle w:val="56"/>
        <w:widowControl/>
        <w:shd w:val="clear"/>
        <w:spacing w:beforeLines="0" w:line="300" w:lineRule="auto"/>
        <w:rPr>
          <w:rFonts w:hint="eastAsia"/>
          <w:color w:val="000000"/>
          <w:sz w:val="36"/>
          <w:szCs w:val="36"/>
          <w:highlight w:val="none"/>
        </w:rPr>
      </w:pPr>
    </w:p>
    <w:p w14:paraId="2098FBC9">
      <w:pPr>
        <w:pStyle w:val="56"/>
        <w:widowControl/>
        <w:shd w:val="clear"/>
        <w:spacing w:beforeLines="0" w:line="300" w:lineRule="auto"/>
        <w:rPr>
          <w:rFonts w:hint="eastAsia"/>
          <w:color w:val="000000"/>
          <w:sz w:val="36"/>
          <w:szCs w:val="36"/>
          <w:highlight w:val="none"/>
        </w:rPr>
      </w:pPr>
    </w:p>
    <w:p w14:paraId="586E587C">
      <w:pPr>
        <w:pStyle w:val="56"/>
        <w:widowControl/>
        <w:shd w:val="clear"/>
        <w:spacing w:beforeLines="0" w:line="300" w:lineRule="auto"/>
        <w:rPr>
          <w:rFonts w:hint="eastAsia"/>
          <w:color w:val="000000"/>
          <w:sz w:val="36"/>
          <w:szCs w:val="36"/>
          <w:highlight w:val="none"/>
        </w:rPr>
      </w:pPr>
    </w:p>
    <w:p w14:paraId="1E8A367B">
      <w:pPr>
        <w:pStyle w:val="56"/>
        <w:widowControl/>
        <w:shd w:val="clear"/>
        <w:spacing w:beforeLines="0" w:line="300" w:lineRule="auto"/>
        <w:rPr>
          <w:rFonts w:hint="eastAsia"/>
          <w:color w:val="000000"/>
          <w:sz w:val="36"/>
          <w:szCs w:val="36"/>
          <w:highlight w:val="none"/>
        </w:rPr>
      </w:pPr>
    </w:p>
    <w:p w14:paraId="1C403F2E">
      <w:pPr>
        <w:pStyle w:val="56"/>
        <w:widowControl/>
        <w:shd w:val="clear"/>
        <w:spacing w:beforeLines="0" w:line="300" w:lineRule="auto"/>
        <w:rPr>
          <w:rFonts w:hint="eastAsia"/>
          <w:color w:val="000000"/>
          <w:sz w:val="36"/>
          <w:szCs w:val="36"/>
          <w:highlight w:val="none"/>
        </w:rPr>
      </w:pPr>
    </w:p>
    <w:p w14:paraId="27883367">
      <w:pPr>
        <w:pStyle w:val="56"/>
        <w:widowControl/>
        <w:shd w:val="clear"/>
        <w:spacing w:beforeLines="0" w:line="300" w:lineRule="auto"/>
        <w:rPr>
          <w:rFonts w:hint="eastAsia"/>
          <w:color w:val="000000"/>
          <w:sz w:val="36"/>
          <w:szCs w:val="36"/>
          <w:highlight w:val="none"/>
        </w:rPr>
      </w:pPr>
    </w:p>
    <w:p w14:paraId="0FDC4078">
      <w:pPr>
        <w:pStyle w:val="56"/>
        <w:widowControl/>
        <w:shd w:val="clear"/>
        <w:spacing w:beforeLines="0" w:line="300" w:lineRule="auto"/>
        <w:rPr>
          <w:color w:val="000000"/>
          <w:sz w:val="36"/>
          <w:szCs w:val="36"/>
          <w:highlight w:val="none"/>
        </w:rPr>
      </w:pPr>
      <w:bookmarkStart w:id="155" w:name="_Toc10782_WPSOffice_Level1"/>
      <w:bookmarkStart w:id="156" w:name="_Toc1571_WPSOffice_Level1"/>
      <w:r>
        <w:rPr>
          <w:rFonts w:hint="eastAsia"/>
          <w:color w:val="000000"/>
          <w:sz w:val="36"/>
          <w:szCs w:val="36"/>
          <w:highlight w:val="none"/>
        </w:rPr>
        <w:t>第</w:t>
      </w:r>
      <w:r>
        <w:rPr>
          <w:rFonts w:hint="eastAsia"/>
          <w:color w:val="000000"/>
          <w:sz w:val="36"/>
          <w:szCs w:val="36"/>
          <w:highlight w:val="none"/>
          <w:lang w:val="en-US" w:eastAsia="zh-CN"/>
        </w:rPr>
        <w:t>六</w:t>
      </w:r>
      <w:r>
        <w:rPr>
          <w:rFonts w:hint="eastAsia"/>
          <w:color w:val="000000"/>
          <w:sz w:val="36"/>
          <w:szCs w:val="36"/>
          <w:highlight w:val="none"/>
        </w:rPr>
        <w:t>章</w:t>
      </w:r>
      <w:r>
        <w:rPr>
          <w:color w:val="000000"/>
          <w:sz w:val="36"/>
          <w:szCs w:val="36"/>
          <w:highlight w:val="none"/>
        </w:rPr>
        <w:t xml:space="preserve"> </w:t>
      </w:r>
      <w:r>
        <w:rPr>
          <w:rFonts w:hint="eastAsia"/>
          <w:color w:val="000000"/>
          <w:sz w:val="36"/>
          <w:szCs w:val="36"/>
          <w:highlight w:val="none"/>
        </w:rPr>
        <w:t>投标文件格式及内容</w:t>
      </w:r>
      <w:bookmarkEnd w:id="155"/>
      <w:bookmarkEnd w:id="156"/>
    </w:p>
    <w:p w14:paraId="70670FF3">
      <w:pPr>
        <w:shd w:val="clear"/>
        <w:autoSpaceDE w:val="0"/>
        <w:autoSpaceDN w:val="0"/>
        <w:adjustRightInd w:val="0"/>
        <w:spacing w:line="300" w:lineRule="auto"/>
        <w:ind w:firstLine="3360" w:firstLineChars="1400"/>
        <w:rPr>
          <w:rFonts w:ascii="Times New Roman" w:hAnsi="Times New Roman" w:eastAsia="黑体"/>
          <w:color w:val="000000"/>
          <w:highlight w:val="none"/>
          <w:shd w:val="clear" w:color="auto" w:fill="FFFFFF"/>
        </w:rPr>
      </w:pPr>
    </w:p>
    <w:p w14:paraId="60CC72AA">
      <w:pPr>
        <w:shd w:val="clear"/>
        <w:autoSpaceDE w:val="0"/>
        <w:autoSpaceDN w:val="0"/>
        <w:adjustRightInd w:val="0"/>
        <w:spacing w:line="300" w:lineRule="auto"/>
        <w:ind w:firstLine="6160" w:firstLineChars="1400"/>
        <w:jc w:val="right"/>
        <w:rPr>
          <w:rFonts w:ascii="Times New Roman" w:hAnsi="Times New Roman" w:eastAsia="黑体"/>
          <w:color w:val="000000"/>
          <w:sz w:val="44"/>
          <w:szCs w:val="44"/>
          <w:highlight w:val="none"/>
        </w:rPr>
      </w:pPr>
      <w:bookmarkStart w:id="157" w:name="_Toc27235_WPSOffice_Level1"/>
      <w:bookmarkStart w:id="158" w:name="_Toc10654_WPSOffice_Level1"/>
      <w:bookmarkStart w:id="159" w:name="_Toc9011_WPSOffice_Level1"/>
      <w:r>
        <w:rPr>
          <w:rFonts w:hint="eastAsia" w:ascii="Times New Roman" w:hAnsi="Times New Roman" w:eastAsia="黑体"/>
          <w:color w:val="000000"/>
          <w:sz w:val="44"/>
          <w:szCs w:val="44"/>
          <w:highlight w:val="none"/>
          <w:bdr w:val="single" w:color="auto" w:sz="4" w:space="0"/>
        </w:rPr>
        <w:t>正本</w:t>
      </w:r>
      <w:r>
        <w:rPr>
          <w:rFonts w:ascii="Times New Roman" w:hAnsi="Times New Roman" w:eastAsia="黑体"/>
          <w:color w:val="000000"/>
          <w:sz w:val="44"/>
          <w:szCs w:val="44"/>
          <w:highlight w:val="none"/>
          <w:bdr w:val="single" w:color="auto" w:sz="4" w:space="0"/>
        </w:rPr>
        <w:t>/</w:t>
      </w:r>
      <w:r>
        <w:rPr>
          <w:rFonts w:hint="eastAsia" w:ascii="Times New Roman" w:hAnsi="Times New Roman" w:eastAsia="黑体"/>
          <w:color w:val="000000"/>
          <w:sz w:val="44"/>
          <w:szCs w:val="44"/>
          <w:highlight w:val="none"/>
          <w:bdr w:val="single" w:color="auto" w:sz="4" w:space="0"/>
        </w:rPr>
        <w:t>副本</w:t>
      </w:r>
      <w:bookmarkEnd w:id="157"/>
      <w:bookmarkEnd w:id="158"/>
      <w:bookmarkEnd w:id="159"/>
    </w:p>
    <w:p w14:paraId="39A46221">
      <w:pPr>
        <w:shd w:val="clear"/>
        <w:spacing w:line="300" w:lineRule="auto"/>
        <w:rPr>
          <w:rFonts w:ascii="Times New Roman" w:hAnsi="Times New Roman"/>
          <w:color w:val="000000"/>
          <w:szCs w:val="21"/>
          <w:highlight w:val="none"/>
        </w:rPr>
      </w:pPr>
    </w:p>
    <w:p w14:paraId="1027378B">
      <w:pPr>
        <w:shd w:val="clear"/>
        <w:spacing w:line="300" w:lineRule="auto"/>
        <w:jc w:val="center"/>
        <w:rPr>
          <w:rFonts w:ascii="Times New Roman" w:hAnsi="Times New Roman" w:eastAsia="黑体"/>
          <w:color w:val="000000"/>
          <w:sz w:val="36"/>
          <w:szCs w:val="36"/>
          <w:highlight w:val="none"/>
        </w:rPr>
      </w:pPr>
      <w:r>
        <w:rPr>
          <w:rFonts w:ascii="Times New Roman" w:hAnsi="Times New Roman" w:eastAsia="黑体"/>
          <w:color w:val="000000"/>
          <w:sz w:val="36"/>
          <w:szCs w:val="36"/>
          <w:highlight w:val="none"/>
          <w:u w:val="single"/>
        </w:rPr>
        <w:t xml:space="preserve">                      </w:t>
      </w:r>
      <w:bookmarkStart w:id="160" w:name="_Toc28215_WPSOffice_Level1"/>
      <w:bookmarkStart w:id="161" w:name="_Toc24720_WPSOffice_Level1"/>
      <w:bookmarkStart w:id="162" w:name="_Toc23147_WPSOffice_Level1"/>
      <w:r>
        <w:rPr>
          <w:rFonts w:hint="eastAsia" w:ascii="Times New Roman" w:hAnsi="Times New Roman" w:eastAsia="黑体"/>
          <w:color w:val="000000"/>
          <w:sz w:val="36"/>
          <w:szCs w:val="36"/>
          <w:highlight w:val="none"/>
        </w:rPr>
        <w:t>（项目名称）</w:t>
      </w:r>
      <w:bookmarkEnd w:id="160"/>
      <w:bookmarkEnd w:id="161"/>
      <w:bookmarkEnd w:id="162"/>
    </w:p>
    <w:p w14:paraId="78D9CB8B">
      <w:pPr>
        <w:shd w:val="clear"/>
        <w:spacing w:line="300" w:lineRule="auto"/>
        <w:rPr>
          <w:rFonts w:ascii="Times New Roman" w:hAnsi="Times New Roman"/>
          <w:b/>
          <w:color w:val="000000"/>
          <w:szCs w:val="21"/>
          <w:highlight w:val="none"/>
        </w:rPr>
      </w:pPr>
    </w:p>
    <w:p w14:paraId="70213F40">
      <w:pPr>
        <w:shd w:val="clear"/>
        <w:spacing w:line="300" w:lineRule="auto"/>
        <w:jc w:val="center"/>
        <w:rPr>
          <w:rFonts w:ascii="Times New Roman" w:hAnsi="Times New Roman"/>
          <w:b/>
          <w:color w:val="000000"/>
          <w:szCs w:val="21"/>
          <w:highlight w:val="none"/>
        </w:rPr>
      </w:pPr>
    </w:p>
    <w:p w14:paraId="791C1CAC">
      <w:pPr>
        <w:shd w:val="clear"/>
        <w:spacing w:line="300" w:lineRule="auto"/>
        <w:rPr>
          <w:rFonts w:ascii="Times New Roman" w:hAnsi="Times New Roman"/>
          <w:b/>
          <w:color w:val="000000"/>
          <w:szCs w:val="21"/>
          <w:highlight w:val="none"/>
        </w:rPr>
      </w:pPr>
    </w:p>
    <w:p w14:paraId="6837E0E8">
      <w:pPr>
        <w:shd w:val="clear"/>
        <w:spacing w:line="300" w:lineRule="auto"/>
        <w:rPr>
          <w:rFonts w:ascii="Times New Roman" w:hAnsi="Times New Roman"/>
          <w:b/>
          <w:color w:val="000000"/>
          <w:szCs w:val="21"/>
          <w:highlight w:val="none"/>
        </w:rPr>
      </w:pPr>
    </w:p>
    <w:p w14:paraId="53B7C040">
      <w:pPr>
        <w:shd w:val="clear"/>
        <w:spacing w:line="300" w:lineRule="auto"/>
        <w:rPr>
          <w:rFonts w:ascii="Times New Roman" w:hAnsi="Times New Roman"/>
          <w:b/>
          <w:color w:val="000000"/>
          <w:szCs w:val="21"/>
          <w:highlight w:val="none"/>
        </w:rPr>
      </w:pPr>
    </w:p>
    <w:p w14:paraId="2336E257">
      <w:pPr>
        <w:shd w:val="clear"/>
        <w:spacing w:line="300" w:lineRule="auto"/>
        <w:rPr>
          <w:rFonts w:ascii="Times New Roman" w:hAnsi="Times New Roman"/>
          <w:b/>
          <w:color w:val="000000"/>
          <w:szCs w:val="21"/>
          <w:highlight w:val="none"/>
        </w:rPr>
      </w:pPr>
    </w:p>
    <w:p w14:paraId="1179460F">
      <w:pPr>
        <w:shd w:val="clear"/>
        <w:spacing w:line="300" w:lineRule="auto"/>
        <w:jc w:val="center"/>
        <w:rPr>
          <w:rFonts w:ascii="Times New Roman" w:hAnsi="Times New Roman" w:eastAsia="黑体"/>
          <w:color w:val="000000"/>
          <w:sz w:val="36"/>
          <w:szCs w:val="36"/>
          <w:highlight w:val="none"/>
        </w:rPr>
      </w:pPr>
      <w:bookmarkStart w:id="163" w:name="_Toc6765_WPSOffice_Level1"/>
      <w:bookmarkStart w:id="164" w:name="_Toc6615_WPSOffice_Level1"/>
      <w:bookmarkStart w:id="165" w:name="_Toc7890_WPSOffice_Level1"/>
      <w:r>
        <w:rPr>
          <w:rFonts w:hint="eastAsia" w:ascii="Times New Roman" w:hAnsi="Times New Roman" w:eastAsia="黑体"/>
          <w:color w:val="000000"/>
          <w:sz w:val="36"/>
          <w:szCs w:val="36"/>
          <w:highlight w:val="none"/>
        </w:rPr>
        <w:t>投标文件</w:t>
      </w:r>
      <w:bookmarkEnd w:id="163"/>
      <w:bookmarkEnd w:id="164"/>
      <w:bookmarkEnd w:id="165"/>
    </w:p>
    <w:p w14:paraId="45FBB176">
      <w:pPr>
        <w:shd w:val="clear"/>
        <w:spacing w:line="300" w:lineRule="auto"/>
        <w:rPr>
          <w:rFonts w:ascii="Times New Roman" w:hAnsi="Times New Roman"/>
          <w:b/>
          <w:color w:val="000000"/>
          <w:szCs w:val="21"/>
          <w:highlight w:val="none"/>
        </w:rPr>
      </w:pPr>
    </w:p>
    <w:p w14:paraId="56083C9A">
      <w:pPr>
        <w:shd w:val="clear"/>
        <w:spacing w:line="300" w:lineRule="auto"/>
        <w:rPr>
          <w:rFonts w:ascii="Times New Roman" w:hAnsi="Times New Roman"/>
          <w:color w:val="000000"/>
          <w:szCs w:val="21"/>
          <w:highlight w:val="none"/>
        </w:rPr>
      </w:pPr>
    </w:p>
    <w:p w14:paraId="7CD4EC4F">
      <w:pPr>
        <w:shd w:val="clear"/>
        <w:spacing w:line="300" w:lineRule="auto"/>
        <w:rPr>
          <w:rFonts w:ascii="Times New Roman" w:hAnsi="Times New Roman"/>
          <w:color w:val="000000"/>
          <w:szCs w:val="21"/>
          <w:highlight w:val="none"/>
        </w:rPr>
      </w:pPr>
    </w:p>
    <w:p w14:paraId="06F99AB9">
      <w:pPr>
        <w:shd w:val="clear"/>
        <w:spacing w:line="300" w:lineRule="auto"/>
        <w:rPr>
          <w:rFonts w:ascii="Times New Roman" w:hAnsi="Times New Roman"/>
          <w:color w:val="000000"/>
          <w:szCs w:val="21"/>
          <w:highlight w:val="none"/>
        </w:rPr>
      </w:pPr>
    </w:p>
    <w:p w14:paraId="772B2F40">
      <w:pPr>
        <w:shd w:val="clear"/>
        <w:spacing w:line="300" w:lineRule="auto"/>
        <w:rPr>
          <w:rFonts w:ascii="Times New Roman" w:hAnsi="Times New Roman"/>
          <w:color w:val="000000"/>
          <w:szCs w:val="21"/>
          <w:highlight w:val="none"/>
        </w:rPr>
      </w:pPr>
    </w:p>
    <w:p w14:paraId="432E2045">
      <w:pPr>
        <w:shd w:val="clear"/>
        <w:spacing w:line="300" w:lineRule="auto"/>
        <w:rPr>
          <w:rFonts w:ascii="Times New Roman" w:hAnsi="Times New Roman"/>
          <w:color w:val="000000"/>
          <w:szCs w:val="21"/>
          <w:highlight w:val="none"/>
        </w:rPr>
      </w:pPr>
    </w:p>
    <w:p w14:paraId="799649BA">
      <w:pPr>
        <w:shd w:val="clear"/>
        <w:spacing w:line="300" w:lineRule="auto"/>
        <w:rPr>
          <w:rFonts w:ascii="Times New Roman" w:hAnsi="Times New Roman"/>
          <w:color w:val="000000"/>
          <w:szCs w:val="21"/>
          <w:highlight w:val="none"/>
        </w:rPr>
      </w:pPr>
    </w:p>
    <w:p w14:paraId="65CA63DC">
      <w:pPr>
        <w:shd w:val="clear"/>
        <w:spacing w:line="300" w:lineRule="auto"/>
        <w:rPr>
          <w:rFonts w:ascii="Times New Roman" w:hAnsi="Times New Roman"/>
          <w:color w:val="000000"/>
          <w:szCs w:val="21"/>
          <w:highlight w:val="none"/>
        </w:rPr>
      </w:pPr>
    </w:p>
    <w:p w14:paraId="78258452">
      <w:pPr>
        <w:shd w:val="clear"/>
        <w:spacing w:line="300" w:lineRule="auto"/>
        <w:ind w:firstLine="140" w:firstLineChars="50"/>
        <w:rPr>
          <w:rFonts w:ascii="Times New Roman" w:hAnsi="Times New Roman" w:eastAsia="黑体"/>
          <w:color w:val="000000"/>
          <w:sz w:val="28"/>
          <w:szCs w:val="28"/>
          <w:highlight w:val="none"/>
          <w:u w:val="single"/>
        </w:rPr>
      </w:pPr>
      <w:r>
        <w:rPr>
          <w:rFonts w:hint="eastAsia" w:ascii="Times New Roman" w:hAnsi="Times New Roman" w:eastAsia="黑体"/>
          <w:color w:val="000000"/>
          <w:sz w:val="28"/>
          <w:szCs w:val="28"/>
          <w:highlight w:val="none"/>
        </w:rPr>
        <w:t>投标人：</w:t>
      </w:r>
      <w:r>
        <w:rPr>
          <w:rFonts w:ascii="Times New Roman" w:hAnsi="Times New Roman" w:eastAsia="黑体"/>
          <w:color w:val="000000"/>
          <w:sz w:val="28"/>
          <w:szCs w:val="28"/>
          <w:highlight w:val="none"/>
          <w:u w:val="single"/>
        </w:rPr>
        <w:t xml:space="preserve">                                       </w:t>
      </w:r>
      <w:r>
        <w:rPr>
          <w:rFonts w:hint="eastAsia" w:ascii="Times New Roman" w:hAnsi="Times New Roman" w:eastAsia="黑体"/>
          <w:color w:val="000000"/>
          <w:sz w:val="28"/>
          <w:szCs w:val="28"/>
          <w:highlight w:val="none"/>
        </w:rPr>
        <w:t>（盖单位公章）</w:t>
      </w:r>
    </w:p>
    <w:p w14:paraId="726CFD54">
      <w:pPr>
        <w:shd w:val="clear"/>
        <w:spacing w:line="300" w:lineRule="auto"/>
        <w:jc w:val="center"/>
        <w:rPr>
          <w:rFonts w:ascii="Times New Roman" w:hAnsi="Times New Roman" w:eastAsia="黑体"/>
          <w:color w:val="000000"/>
          <w:sz w:val="28"/>
          <w:szCs w:val="28"/>
          <w:highlight w:val="none"/>
        </w:rPr>
      </w:pPr>
      <w:bookmarkStart w:id="166" w:name="_Toc14022_WPSOffice_Level1"/>
      <w:bookmarkStart w:id="167" w:name="_Toc31414_WPSOffice_Level1"/>
      <w:bookmarkStart w:id="168" w:name="_Toc27359_WPSOffice_Level1"/>
      <w:r>
        <w:rPr>
          <w:rFonts w:hint="eastAsia" w:ascii="Times New Roman" w:hAnsi="Times New Roman" w:eastAsia="黑体"/>
          <w:color w:val="000000"/>
          <w:sz w:val="28"/>
          <w:szCs w:val="28"/>
          <w:highlight w:val="none"/>
        </w:rPr>
        <w:t>法定代表人或其委托代理人：</w:t>
      </w:r>
      <w:r>
        <w:rPr>
          <w:rFonts w:ascii="Times New Roman" w:hAnsi="Times New Roman" w:eastAsia="黑体"/>
          <w:color w:val="000000"/>
          <w:sz w:val="28"/>
          <w:szCs w:val="28"/>
          <w:highlight w:val="none"/>
          <w:u w:val="single"/>
        </w:rPr>
        <w:t xml:space="preserve">                    </w:t>
      </w:r>
      <w:r>
        <w:rPr>
          <w:rFonts w:hint="eastAsia" w:ascii="Times New Roman" w:hAnsi="Times New Roman" w:eastAsia="黑体"/>
          <w:color w:val="000000"/>
          <w:sz w:val="28"/>
          <w:szCs w:val="28"/>
          <w:highlight w:val="none"/>
        </w:rPr>
        <w:t>（签字或盖章）</w:t>
      </w:r>
      <w:bookmarkEnd w:id="166"/>
      <w:bookmarkEnd w:id="167"/>
      <w:bookmarkEnd w:id="168"/>
    </w:p>
    <w:p w14:paraId="614B00DE">
      <w:pPr>
        <w:shd w:val="clear"/>
        <w:spacing w:line="300" w:lineRule="auto"/>
        <w:jc w:val="center"/>
        <w:rPr>
          <w:rFonts w:ascii="Times New Roman" w:hAnsi="Times New Roman" w:eastAsia="黑体"/>
          <w:color w:val="000000"/>
          <w:sz w:val="28"/>
          <w:szCs w:val="28"/>
          <w:highlight w:val="none"/>
          <w:u w:val="single"/>
        </w:rPr>
      </w:pPr>
    </w:p>
    <w:p w14:paraId="71B2C008">
      <w:pPr>
        <w:shd w:val="clear"/>
        <w:spacing w:line="300" w:lineRule="auto"/>
        <w:jc w:val="center"/>
        <w:rPr>
          <w:rFonts w:ascii="Times New Roman" w:hAnsi="Times New Roman" w:eastAsia="黑体"/>
          <w:color w:val="000000"/>
          <w:sz w:val="28"/>
          <w:szCs w:val="28"/>
          <w:highlight w:val="none"/>
        </w:rPr>
        <w:sectPr>
          <w:footerReference r:id="rId6" w:type="default"/>
          <w:footerReference r:id="rId7" w:type="even"/>
          <w:pgSz w:w="11906" w:h="16838"/>
          <w:pgMar w:top="1418" w:right="1644" w:bottom="1247" w:left="1644" w:header="851" w:footer="992" w:gutter="0"/>
          <w:cols w:space="720" w:num="1"/>
          <w:docGrid w:type="lines" w:linePitch="312" w:charSpace="0"/>
        </w:sectPr>
      </w:pPr>
      <w:r>
        <w:rPr>
          <w:rFonts w:ascii="Times New Roman" w:hAnsi="Times New Roman" w:eastAsia="黑体"/>
          <w:color w:val="000000"/>
          <w:sz w:val="28"/>
          <w:szCs w:val="28"/>
          <w:highlight w:val="none"/>
          <w:u w:val="single"/>
        </w:rPr>
        <w:t xml:space="preserve">      </w:t>
      </w:r>
      <w:bookmarkStart w:id="169" w:name="_Toc30171_WPSOffice_Level1"/>
      <w:bookmarkStart w:id="170" w:name="_Toc26258_WPSOffice_Level1"/>
      <w:bookmarkStart w:id="171" w:name="_Toc31650_WPSOffice_Level1"/>
      <w:r>
        <w:rPr>
          <w:rFonts w:hint="eastAsia" w:ascii="Times New Roman" w:hAnsi="Times New Roman" w:eastAsia="黑体"/>
          <w:color w:val="000000"/>
          <w:sz w:val="28"/>
          <w:szCs w:val="28"/>
          <w:highlight w:val="none"/>
        </w:rPr>
        <w:t>年</w:t>
      </w:r>
      <w:r>
        <w:rPr>
          <w:rFonts w:ascii="Times New Roman" w:hAnsi="Times New Roman" w:eastAsia="黑体"/>
          <w:color w:val="000000"/>
          <w:sz w:val="28"/>
          <w:szCs w:val="28"/>
          <w:highlight w:val="none"/>
        </w:rPr>
        <w:t xml:space="preserve"> </w:t>
      </w:r>
      <w:r>
        <w:rPr>
          <w:rFonts w:ascii="Times New Roman" w:hAnsi="Times New Roman" w:eastAsia="黑体"/>
          <w:color w:val="000000"/>
          <w:sz w:val="28"/>
          <w:szCs w:val="28"/>
          <w:highlight w:val="none"/>
          <w:u w:val="single"/>
        </w:rPr>
        <w:t xml:space="preserve">   </w:t>
      </w:r>
      <w:r>
        <w:rPr>
          <w:rFonts w:ascii="Times New Roman" w:hAnsi="Times New Roman" w:eastAsia="黑体"/>
          <w:color w:val="000000"/>
          <w:sz w:val="28"/>
          <w:szCs w:val="28"/>
          <w:highlight w:val="none"/>
        </w:rPr>
        <w:t xml:space="preserve"> </w:t>
      </w:r>
      <w:r>
        <w:rPr>
          <w:rFonts w:hint="eastAsia" w:ascii="Times New Roman" w:hAnsi="Times New Roman" w:eastAsia="黑体"/>
          <w:color w:val="000000"/>
          <w:sz w:val="28"/>
          <w:szCs w:val="28"/>
          <w:highlight w:val="none"/>
        </w:rPr>
        <w:t>月</w:t>
      </w:r>
      <w:bookmarkEnd w:id="169"/>
      <w:bookmarkEnd w:id="170"/>
      <w:bookmarkEnd w:id="171"/>
      <w:r>
        <w:rPr>
          <w:rFonts w:ascii="Times New Roman" w:hAnsi="Times New Roman" w:eastAsia="黑体"/>
          <w:color w:val="000000"/>
          <w:sz w:val="28"/>
          <w:szCs w:val="28"/>
          <w:highlight w:val="none"/>
        </w:rPr>
        <w:t xml:space="preserve">  </w:t>
      </w:r>
      <w:r>
        <w:rPr>
          <w:rFonts w:ascii="Times New Roman" w:hAnsi="Times New Roman" w:eastAsia="黑体"/>
          <w:color w:val="000000"/>
          <w:sz w:val="28"/>
          <w:szCs w:val="28"/>
          <w:highlight w:val="none"/>
          <w:u w:val="single"/>
        </w:rPr>
        <w:t xml:space="preserve">    </w:t>
      </w:r>
    </w:p>
    <w:p w14:paraId="19DBA93E">
      <w:pPr>
        <w:pStyle w:val="5"/>
        <w:shd w:val="clear"/>
        <w:spacing w:before="0" w:after="0" w:line="300" w:lineRule="auto"/>
        <w:jc w:val="center"/>
        <w:rPr>
          <w:rFonts w:ascii="Times New Roman" w:hAnsi="Times New Roman"/>
          <w:color w:val="000000"/>
          <w:highlight w:val="none"/>
        </w:rPr>
      </w:pPr>
      <w:r>
        <w:rPr>
          <w:rFonts w:hint="eastAsia" w:ascii="Times New Roman" w:hAnsi="Times New Roman"/>
          <w:color w:val="000000"/>
          <w:highlight w:val="none"/>
        </w:rPr>
        <w:t>目</w:t>
      </w:r>
      <w:r>
        <w:rPr>
          <w:rFonts w:ascii="Times New Roman" w:hAnsi="Times New Roman"/>
          <w:color w:val="000000"/>
          <w:highlight w:val="none"/>
        </w:rPr>
        <w:t xml:space="preserve">    </w:t>
      </w:r>
      <w:r>
        <w:rPr>
          <w:rFonts w:hint="eastAsia" w:ascii="Times New Roman" w:hAnsi="Times New Roman"/>
          <w:color w:val="000000"/>
          <w:highlight w:val="none"/>
        </w:rPr>
        <w:t>录</w:t>
      </w:r>
    </w:p>
    <w:p w14:paraId="3E5E42F8">
      <w:pPr>
        <w:shd w:val="clear"/>
        <w:spacing w:line="300" w:lineRule="auto"/>
        <w:rPr>
          <w:rFonts w:ascii="Times New Roman" w:hAnsi="Times New Roman"/>
          <w:color w:val="000000"/>
          <w:highlight w:val="none"/>
        </w:rPr>
      </w:pPr>
    </w:p>
    <w:p w14:paraId="36BB01FC">
      <w:pPr>
        <w:shd w:val="clear"/>
        <w:spacing w:line="360" w:lineRule="auto"/>
        <w:ind w:firstLine="480" w:firstLineChars="200"/>
        <w:rPr>
          <w:rFonts w:hint="eastAsia" w:cs="仿宋"/>
          <w:highlight w:val="none"/>
        </w:rPr>
      </w:pPr>
      <w:r>
        <w:rPr>
          <w:rFonts w:hint="eastAsia" w:cs="仿宋"/>
          <w:highlight w:val="none"/>
        </w:rPr>
        <w:t>1、投标函</w:t>
      </w:r>
    </w:p>
    <w:p w14:paraId="7872455A">
      <w:pPr>
        <w:pStyle w:val="2"/>
        <w:shd w:val="clear"/>
        <w:ind w:left="0" w:leftChars="0" w:firstLine="0" w:firstLineChars="0"/>
        <w:rPr>
          <w:highlight w:val="none"/>
        </w:rPr>
      </w:pPr>
      <w:r>
        <w:rPr>
          <w:rFonts w:hint="eastAsia"/>
          <w:highlight w:val="none"/>
        </w:rPr>
        <w:t xml:space="preserve">    2、法定代表人身份证明</w:t>
      </w:r>
    </w:p>
    <w:p w14:paraId="285235FA">
      <w:pPr>
        <w:shd w:val="clear"/>
        <w:spacing w:line="360" w:lineRule="auto"/>
        <w:ind w:firstLine="480" w:firstLineChars="200"/>
        <w:rPr>
          <w:rFonts w:cs="仿宋"/>
          <w:highlight w:val="none"/>
        </w:rPr>
      </w:pPr>
      <w:r>
        <w:rPr>
          <w:rFonts w:hint="eastAsia" w:cs="仿宋"/>
          <w:highlight w:val="none"/>
        </w:rPr>
        <w:t>3、授权委托书</w:t>
      </w:r>
    </w:p>
    <w:p w14:paraId="60EF91C0">
      <w:pPr>
        <w:shd w:val="clear"/>
        <w:spacing w:line="360" w:lineRule="auto"/>
        <w:ind w:firstLine="480" w:firstLineChars="200"/>
        <w:rPr>
          <w:rFonts w:cs="仿宋"/>
          <w:highlight w:val="none"/>
        </w:rPr>
      </w:pPr>
      <w:r>
        <w:rPr>
          <w:rFonts w:hint="eastAsia" w:cs="仿宋"/>
          <w:highlight w:val="none"/>
        </w:rPr>
        <w:t>4、投标保证金</w:t>
      </w:r>
    </w:p>
    <w:p w14:paraId="0628ABAB">
      <w:pPr>
        <w:shd w:val="clear"/>
        <w:spacing w:line="360" w:lineRule="auto"/>
        <w:ind w:firstLine="480" w:firstLineChars="200"/>
        <w:rPr>
          <w:rFonts w:cs="仿宋"/>
          <w:highlight w:val="none"/>
        </w:rPr>
      </w:pPr>
      <w:r>
        <w:rPr>
          <w:rFonts w:hint="eastAsia" w:cs="仿宋"/>
          <w:highlight w:val="none"/>
        </w:rPr>
        <w:t>5、资格审查资料</w:t>
      </w:r>
    </w:p>
    <w:p w14:paraId="0D911757">
      <w:pPr>
        <w:shd w:val="clear"/>
        <w:spacing w:line="360" w:lineRule="auto"/>
        <w:ind w:firstLine="480" w:firstLineChars="200"/>
        <w:rPr>
          <w:rFonts w:cs="仿宋"/>
          <w:highlight w:val="none"/>
        </w:rPr>
      </w:pPr>
      <w:r>
        <w:rPr>
          <w:rFonts w:hint="eastAsia" w:cs="仿宋"/>
          <w:highlight w:val="none"/>
        </w:rPr>
        <w:t>6、报价表</w:t>
      </w:r>
    </w:p>
    <w:p w14:paraId="06AE0EAB">
      <w:pPr>
        <w:shd w:val="clear"/>
        <w:spacing w:line="360" w:lineRule="auto"/>
        <w:ind w:firstLine="480" w:firstLineChars="200"/>
        <w:rPr>
          <w:rFonts w:cs="仿宋"/>
          <w:highlight w:val="none"/>
        </w:rPr>
      </w:pPr>
      <w:r>
        <w:rPr>
          <w:rFonts w:hint="eastAsia" w:cs="仿宋"/>
          <w:highlight w:val="none"/>
        </w:rPr>
        <w:t>7、商务或技术偏差表</w:t>
      </w:r>
    </w:p>
    <w:p w14:paraId="3D8C4DC2">
      <w:pPr>
        <w:shd w:val="clear"/>
        <w:spacing w:line="360" w:lineRule="auto"/>
        <w:ind w:firstLine="480" w:firstLineChars="200"/>
        <w:rPr>
          <w:rFonts w:cs="仿宋"/>
          <w:highlight w:val="none"/>
        </w:rPr>
      </w:pPr>
      <w:r>
        <w:rPr>
          <w:rFonts w:hint="eastAsia" w:cs="仿宋"/>
          <w:highlight w:val="none"/>
        </w:rPr>
        <w:t>8、投标人认为应补充的其它资料</w:t>
      </w:r>
    </w:p>
    <w:p w14:paraId="3C4C0079">
      <w:pPr>
        <w:shd w:val="clear"/>
        <w:jc w:val="center"/>
        <w:rPr>
          <w:rFonts w:ascii="Times New Roman" w:hAnsi="Times New Roman"/>
          <w:b/>
          <w:color w:val="000000"/>
          <w:highlight w:val="none"/>
        </w:rPr>
      </w:pPr>
      <w:r>
        <w:rPr>
          <w:rFonts w:ascii="Times New Roman" w:hAnsi="Times New Roman"/>
          <w:b/>
          <w:color w:val="000000"/>
          <w:highlight w:val="none"/>
        </w:rPr>
        <w:br w:type="page"/>
      </w:r>
    </w:p>
    <w:p w14:paraId="6D9C079C">
      <w:pPr>
        <w:pStyle w:val="6"/>
        <w:shd w:val="clear"/>
        <w:spacing w:before="0" w:after="0" w:line="300" w:lineRule="auto"/>
        <w:jc w:val="left"/>
        <w:rPr>
          <w:b w:val="0"/>
          <w:bCs w:val="0"/>
          <w:color w:val="000000"/>
          <w:sz w:val="24"/>
          <w:szCs w:val="24"/>
          <w:highlight w:val="none"/>
        </w:rPr>
      </w:pPr>
      <w:bookmarkStart w:id="172" w:name="_Toc4141_WPSOffice_Level1"/>
      <w:bookmarkStart w:id="173" w:name="_Toc15065_WPSOffice_Level1"/>
      <w:r>
        <w:rPr>
          <w:rFonts w:hint="eastAsia"/>
          <w:b w:val="0"/>
          <w:bCs w:val="0"/>
          <w:color w:val="000000"/>
          <w:sz w:val="24"/>
          <w:szCs w:val="24"/>
          <w:highlight w:val="none"/>
        </w:rPr>
        <w:t>1、投标函</w:t>
      </w:r>
      <w:bookmarkEnd w:id="172"/>
      <w:bookmarkEnd w:id="173"/>
    </w:p>
    <w:p w14:paraId="4AB4B7FD">
      <w:pPr>
        <w:shd w:val="clear"/>
        <w:spacing w:line="300" w:lineRule="auto"/>
        <w:rPr>
          <w:rFonts w:ascii="Times New Roman" w:hAnsi="Times New Roman"/>
          <w:color w:val="000000"/>
          <w:szCs w:val="21"/>
          <w:highlight w:val="none"/>
        </w:rPr>
      </w:pP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（招标人名称）：</w:t>
      </w:r>
    </w:p>
    <w:p w14:paraId="298039E7">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1</w:t>
      </w:r>
      <w:r>
        <w:rPr>
          <w:rFonts w:hint="eastAsia" w:ascii="Times New Roman" w:hAnsi="Times New Roman"/>
          <w:color w:val="000000"/>
          <w:szCs w:val="21"/>
          <w:highlight w:val="none"/>
        </w:rPr>
        <w:t>．我方已仔细研究了</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（项目名称）招标文件的全部内容，愿意以人民币（大写）</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r>
        <w:rPr>
          <w:rFonts w:ascii="Times New Roman" w:hAnsi="Times New Roman"/>
          <w:color w:val="000000"/>
          <w:szCs w:val="21"/>
          <w:highlight w:val="none"/>
        </w:rPr>
        <w:t>¥</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r>
        <w:rPr>
          <w:rFonts w:hint="eastAsia" w:ascii="Times New Roman" w:hAnsi="Times New Roman"/>
          <w:color w:val="000000"/>
          <w:szCs w:val="21"/>
          <w:highlight w:val="none"/>
          <w:lang w:val="en-US" w:eastAsia="zh-CN"/>
        </w:rPr>
        <w:t>含</w:t>
      </w:r>
      <w:r>
        <w:rPr>
          <w:rFonts w:hint="eastAsia" w:ascii="Times New Roman" w:hAnsi="Times New Roman"/>
          <w:color w:val="000000"/>
          <w:szCs w:val="21"/>
          <w:highlight w:val="none"/>
          <w:u w:val="single"/>
          <w:lang w:val="en-US" w:eastAsia="zh-CN"/>
        </w:rPr>
        <w:t xml:space="preserve">   </w:t>
      </w:r>
      <w:r>
        <w:rPr>
          <w:rFonts w:hint="eastAsia" w:ascii="Times New Roman" w:hAnsi="Times New Roman"/>
          <w:color w:val="000000"/>
          <w:szCs w:val="21"/>
          <w:highlight w:val="none"/>
          <w:u w:val="none"/>
          <w:lang w:val="en-US" w:eastAsia="zh-CN"/>
        </w:rPr>
        <w:t>%增值税</w:t>
      </w:r>
      <w:r>
        <w:rPr>
          <w:rFonts w:hint="eastAsia" w:ascii="Times New Roman" w:hAnsi="Times New Roman"/>
          <w:color w:val="000000"/>
          <w:szCs w:val="21"/>
          <w:highlight w:val="none"/>
        </w:rPr>
        <w:t>的总报价，</w:t>
      </w:r>
      <w:r>
        <w:rPr>
          <w:rFonts w:hint="eastAsia" w:ascii="Times New Roman" w:hAnsi="Times New Roman"/>
          <w:color w:val="000000"/>
          <w:szCs w:val="21"/>
          <w:highlight w:val="none"/>
          <w:lang w:val="en-US" w:eastAsia="zh-CN"/>
        </w:rPr>
        <w:t>单次维修保养</w:t>
      </w:r>
      <w:r>
        <w:rPr>
          <w:rFonts w:hint="eastAsia" w:ascii="Times New Roman" w:hAnsi="Times New Roman"/>
          <w:color w:val="000000"/>
          <w:szCs w:val="21"/>
          <w:highlight w:val="none"/>
          <w:u w:val="single"/>
          <w:lang w:val="en-US" w:eastAsia="zh-CN"/>
        </w:rPr>
        <w:t xml:space="preserve">     </w:t>
      </w:r>
      <w:r>
        <w:rPr>
          <w:rFonts w:hint="eastAsia" w:ascii="Times New Roman" w:hAnsi="Times New Roman"/>
          <w:color w:val="000000"/>
          <w:szCs w:val="21"/>
          <w:highlight w:val="none"/>
          <w:u w:val="none"/>
          <w:lang w:val="en-US" w:eastAsia="zh-CN"/>
        </w:rPr>
        <w:t>日历天，</w:t>
      </w:r>
      <w:r>
        <w:rPr>
          <w:rFonts w:hint="eastAsia" w:ascii="Times New Roman" w:hAnsi="Times New Roman"/>
          <w:color w:val="000000"/>
          <w:szCs w:val="21"/>
          <w:highlight w:val="none"/>
        </w:rPr>
        <w:t>按合同约定</w:t>
      </w:r>
      <w:r>
        <w:rPr>
          <w:rFonts w:hint="eastAsia"/>
          <w:highlight w:val="none"/>
        </w:rPr>
        <w:t>履行所有义务</w:t>
      </w:r>
      <w:r>
        <w:rPr>
          <w:rFonts w:hint="eastAsia" w:ascii="Times New Roman" w:hAnsi="Times New Roman"/>
          <w:color w:val="000000"/>
          <w:szCs w:val="21"/>
          <w:highlight w:val="none"/>
        </w:rPr>
        <w:t>。</w:t>
      </w:r>
    </w:p>
    <w:p w14:paraId="2ED89FA6">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2</w:t>
      </w:r>
      <w:r>
        <w:rPr>
          <w:rFonts w:hint="eastAsia" w:ascii="Times New Roman" w:hAnsi="Times New Roman"/>
          <w:color w:val="000000"/>
          <w:szCs w:val="21"/>
          <w:highlight w:val="none"/>
        </w:rPr>
        <w:t>．我方承诺在招标文件规定的招标有效期内不修改、撤销投标文件。</w:t>
      </w:r>
    </w:p>
    <w:p w14:paraId="1E1D2F18">
      <w:pPr>
        <w:shd w:val="clear"/>
        <w:spacing w:line="300" w:lineRule="auto"/>
        <w:ind w:firstLine="480" w:firstLineChars="200"/>
        <w:rPr>
          <w:rFonts w:hint="default" w:ascii="Times New Roman" w:hAnsi="Times New Roman" w:eastAsia="宋体"/>
          <w:color w:val="000000"/>
          <w:szCs w:val="21"/>
          <w:highlight w:val="none"/>
          <w:lang w:val="en-US" w:eastAsia="zh-CN"/>
        </w:rPr>
      </w:pPr>
      <w:r>
        <w:rPr>
          <w:rFonts w:ascii="Times New Roman" w:hAnsi="Times New Roman"/>
          <w:color w:val="000000"/>
          <w:szCs w:val="21"/>
          <w:highlight w:val="none"/>
        </w:rPr>
        <w:t>3</w:t>
      </w:r>
      <w:r>
        <w:rPr>
          <w:rFonts w:hint="eastAsia" w:ascii="Times New Roman" w:hAnsi="Times New Roman"/>
          <w:color w:val="000000"/>
          <w:szCs w:val="21"/>
          <w:highlight w:val="none"/>
        </w:rPr>
        <w:t>．随同本报价函提交投标保证金一份，金额为人民币（大写）</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r>
        <w:rPr>
          <w:rFonts w:ascii="Times New Roman" w:hAnsi="Times New Roman"/>
          <w:color w:val="000000"/>
          <w:szCs w:val="21"/>
          <w:highlight w:val="none"/>
        </w:rPr>
        <w:t>¥</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p>
    <w:p w14:paraId="4E3AC238">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4</w:t>
      </w:r>
      <w:r>
        <w:rPr>
          <w:rFonts w:hint="eastAsia" w:ascii="Times New Roman" w:hAnsi="Times New Roman"/>
          <w:color w:val="000000"/>
          <w:szCs w:val="21"/>
          <w:highlight w:val="none"/>
        </w:rPr>
        <w:t>．如我方中标：</w:t>
      </w:r>
    </w:p>
    <w:p w14:paraId="03551E26">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1</w:t>
      </w:r>
      <w:r>
        <w:rPr>
          <w:rFonts w:hint="eastAsia" w:ascii="Times New Roman" w:hAnsi="Times New Roman"/>
          <w:color w:val="000000"/>
          <w:szCs w:val="21"/>
          <w:highlight w:val="none"/>
        </w:rPr>
        <w:t>）我方承诺在收到中标通知书后，在中标通知书规定的期限内与你方签订合同。</w:t>
      </w:r>
    </w:p>
    <w:p w14:paraId="5291FE98">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2</w:t>
      </w:r>
      <w:r>
        <w:rPr>
          <w:rFonts w:hint="eastAsia" w:ascii="Times New Roman" w:hAnsi="Times New Roman"/>
          <w:color w:val="000000"/>
          <w:szCs w:val="21"/>
          <w:highlight w:val="none"/>
        </w:rPr>
        <w:t>）随同本报价函递交的报价函附录属于合同文件的组成部分。</w:t>
      </w:r>
    </w:p>
    <w:p w14:paraId="37EC240B">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3</w:t>
      </w:r>
      <w:r>
        <w:rPr>
          <w:rFonts w:hint="eastAsia" w:ascii="Times New Roman" w:hAnsi="Times New Roman"/>
          <w:color w:val="000000"/>
          <w:szCs w:val="21"/>
          <w:highlight w:val="none"/>
        </w:rPr>
        <w:t>）我方承诺按照招标文件规定向你方递交履约担保。</w:t>
      </w:r>
    </w:p>
    <w:p w14:paraId="3E1DD8A0">
      <w:pPr>
        <w:shd w:val="clear"/>
        <w:spacing w:line="300" w:lineRule="auto"/>
        <w:ind w:firstLine="820" w:firstLineChars="342"/>
        <w:rPr>
          <w:rFonts w:ascii="Times New Roman" w:hAnsi="Times New Roman"/>
          <w:color w:val="000000"/>
          <w:szCs w:val="21"/>
          <w:highlight w:val="none"/>
        </w:rPr>
      </w:pPr>
      <w:r>
        <w:rPr>
          <w:rFonts w:hint="eastAsia" w:ascii="Times New Roman" w:hAnsi="Times New Roman"/>
          <w:color w:val="000000"/>
          <w:szCs w:val="21"/>
          <w:highlight w:val="none"/>
        </w:rPr>
        <w:t>（</w:t>
      </w:r>
      <w:r>
        <w:rPr>
          <w:rFonts w:ascii="Times New Roman" w:hAnsi="Times New Roman"/>
          <w:color w:val="000000"/>
          <w:szCs w:val="21"/>
          <w:highlight w:val="none"/>
        </w:rPr>
        <w:t>4</w:t>
      </w:r>
      <w:r>
        <w:rPr>
          <w:rFonts w:hint="eastAsia" w:ascii="Times New Roman" w:hAnsi="Times New Roman"/>
          <w:color w:val="000000"/>
          <w:szCs w:val="21"/>
          <w:highlight w:val="none"/>
        </w:rPr>
        <w:t>）我方承诺在合同约定的期限交付货物。</w:t>
      </w:r>
    </w:p>
    <w:p w14:paraId="4521B364">
      <w:pPr>
        <w:shd w:val="clear"/>
        <w:spacing w:line="300" w:lineRule="auto"/>
        <w:ind w:firstLine="480" w:firstLineChars="200"/>
        <w:rPr>
          <w:rFonts w:ascii="Times New Roman" w:hAnsi="Times New Roman"/>
          <w:color w:val="000000"/>
          <w:highlight w:val="none"/>
        </w:rPr>
      </w:pPr>
      <w:r>
        <w:rPr>
          <w:rFonts w:ascii="Times New Roman" w:hAnsi="Times New Roman"/>
          <w:color w:val="000000"/>
          <w:szCs w:val="21"/>
          <w:highlight w:val="none"/>
        </w:rPr>
        <w:t>5</w:t>
      </w:r>
      <w:r>
        <w:rPr>
          <w:rFonts w:hint="eastAsia" w:ascii="Times New Roman" w:hAnsi="Times New Roman"/>
          <w:color w:val="000000"/>
          <w:szCs w:val="21"/>
          <w:highlight w:val="none"/>
        </w:rPr>
        <w:t>．</w:t>
      </w:r>
      <w:r>
        <w:rPr>
          <w:rFonts w:hint="eastAsia" w:ascii="Times New Roman" w:hAnsi="Times New Roman"/>
          <w:color w:val="000000"/>
          <w:highlight w:val="none"/>
        </w:rPr>
        <w:t>我方在此声明，所递交的投标文件及有关资料内容完整、真实和准确。</w:t>
      </w:r>
    </w:p>
    <w:p w14:paraId="480862DB">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highlight w:val="none"/>
        </w:rPr>
        <w:t>6.</w:t>
      </w:r>
      <w:r>
        <w:rPr>
          <w:rFonts w:ascii="Times New Roman" w:hAnsi="Times New Roman" w:eastAsia="仿宋_GB2312"/>
          <w:color w:val="000000"/>
          <w:sz w:val="28"/>
          <w:highlight w:val="none"/>
        </w:rPr>
        <w:t xml:space="preserve"> </w:t>
      </w:r>
      <w:r>
        <w:rPr>
          <w:rFonts w:hint="eastAsia" w:ascii="Times New Roman" w:hAnsi="Times New Roman"/>
          <w:color w:val="000000"/>
          <w:highlight w:val="none"/>
        </w:rPr>
        <w:t>我方承诺参加招标活动近三年内无违法犯罪及其它不良行为记录，如有经行政主管部门查实或通报的不良记录，我方放弃参加本次项目招标的权利，并无条件承担相应后果和损失。</w:t>
      </w:r>
    </w:p>
    <w:p w14:paraId="49C8BDB3">
      <w:pPr>
        <w:shd w:val="clear"/>
        <w:spacing w:line="300" w:lineRule="auto"/>
        <w:ind w:firstLine="480" w:firstLineChars="200"/>
        <w:rPr>
          <w:rFonts w:ascii="Times New Roman" w:hAnsi="Times New Roman"/>
          <w:color w:val="000000"/>
          <w:szCs w:val="21"/>
          <w:highlight w:val="none"/>
        </w:rPr>
      </w:pPr>
      <w:r>
        <w:rPr>
          <w:rFonts w:ascii="Times New Roman" w:hAnsi="Times New Roman"/>
          <w:color w:val="000000"/>
          <w:szCs w:val="21"/>
          <w:highlight w:val="none"/>
        </w:rPr>
        <w:t>7</w:t>
      </w:r>
      <w:r>
        <w:rPr>
          <w:rFonts w:hint="eastAsia" w:ascii="Times New Roman" w:hAnsi="Times New Roman"/>
          <w:color w:val="000000"/>
          <w:szCs w:val="21"/>
          <w:highlight w:val="none"/>
        </w:rPr>
        <w:t>．</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（其他补充说明）。</w:t>
      </w:r>
    </w:p>
    <w:p w14:paraId="08A8F69B">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投标人：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（盖单位章）</w:t>
      </w:r>
    </w:p>
    <w:p w14:paraId="7967DBE4">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（签字并盖章）</w:t>
      </w:r>
    </w:p>
    <w:p w14:paraId="771C5246">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委托代理人：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w:t>
      </w:r>
    </w:p>
    <w:p w14:paraId="529F2421">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地址：</w:t>
      </w:r>
      <w:r>
        <w:rPr>
          <w:rFonts w:ascii="Times New Roman" w:hAnsi="Times New Roman"/>
          <w:color w:val="000000"/>
          <w:szCs w:val="21"/>
          <w:highlight w:val="none"/>
          <w:u w:val="single"/>
        </w:rPr>
        <w:t xml:space="preserve">                                     </w:t>
      </w:r>
    </w:p>
    <w:p w14:paraId="67ACDC3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网址：</w:t>
      </w:r>
      <w:r>
        <w:rPr>
          <w:rFonts w:ascii="Times New Roman" w:hAnsi="Times New Roman"/>
          <w:color w:val="000000"/>
          <w:szCs w:val="21"/>
          <w:highlight w:val="none"/>
          <w:u w:val="single"/>
        </w:rPr>
        <w:t xml:space="preserve">                                     </w:t>
      </w:r>
    </w:p>
    <w:p w14:paraId="407B344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电话：</w:t>
      </w:r>
      <w:r>
        <w:rPr>
          <w:rFonts w:ascii="Times New Roman" w:hAnsi="Times New Roman"/>
          <w:color w:val="000000"/>
          <w:szCs w:val="21"/>
          <w:highlight w:val="none"/>
          <w:u w:val="single"/>
        </w:rPr>
        <w:t xml:space="preserve">                                     </w:t>
      </w:r>
    </w:p>
    <w:p w14:paraId="621EB53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传真：</w:t>
      </w:r>
      <w:r>
        <w:rPr>
          <w:rFonts w:ascii="Times New Roman" w:hAnsi="Times New Roman"/>
          <w:color w:val="000000"/>
          <w:szCs w:val="21"/>
          <w:highlight w:val="none"/>
          <w:u w:val="single"/>
        </w:rPr>
        <w:t xml:space="preserve">                                     </w:t>
      </w:r>
    </w:p>
    <w:p w14:paraId="78E3A3AE">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邮政编码：</w:t>
      </w:r>
      <w:r>
        <w:rPr>
          <w:rFonts w:ascii="Times New Roman" w:hAnsi="Times New Roman"/>
          <w:color w:val="000000"/>
          <w:szCs w:val="21"/>
          <w:highlight w:val="none"/>
          <w:u w:val="single"/>
        </w:rPr>
        <w:t xml:space="preserve">                                 </w:t>
      </w:r>
    </w:p>
    <w:p w14:paraId="30A6DAFF">
      <w:pPr>
        <w:shd w:val="clear"/>
        <w:spacing w:line="300" w:lineRule="auto"/>
        <w:ind w:firstLine="120" w:firstLineChars="50"/>
        <w:jc w:val="right"/>
        <w:rPr>
          <w:rFonts w:ascii="Times New Roman" w:hAnsi="Times New Roman"/>
          <w:color w:val="000000"/>
          <w:szCs w:val="21"/>
          <w:highlight w:val="none"/>
          <w:u w:val="single"/>
        </w:rPr>
      </w:pPr>
    </w:p>
    <w:p w14:paraId="4F87F8B2">
      <w:pPr>
        <w:shd w:val="clear"/>
        <w:spacing w:line="300" w:lineRule="auto"/>
        <w:ind w:firstLine="120" w:firstLineChars="50"/>
        <w:jc w:val="right"/>
        <w:rPr>
          <w:rFonts w:ascii="Times New Roman" w:hAnsi="Times New Roman"/>
          <w:color w:val="000000"/>
          <w:szCs w:val="21"/>
          <w:highlight w:val="none"/>
        </w:rPr>
      </w:pPr>
      <w:r>
        <w:rPr>
          <w:rFonts w:hint="eastAsia" w:ascii="Times New Roman" w:hAnsi="Times New Roman"/>
          <w:color w:val="000000"/>
          <w:szCs w:val="21"/>
          <w:highlight w:val="none"/>
        </w:rPr>
        <w:t xml:space="preserve">               </w:t>
      </w:r>
      <w:r>
        <w:rPr>
          <w:rFonts w:hint="eastAsia" w:ascii="Times New Roman" w:hAnsi="Times New Roman"/>
          <w:color w:val="000000"/>
          <w:szCs w:val="21"/>
          <w:highlight w:val="none"/>
          <w:u w:val="single"/>
        </w:rPr>
        <w:t xml:space="preserve">    </w:t>
      </w:r>
      <w:r>
        <w:rPr>
          <w:rFonts w:hint="eastAsia" w:ascii="Times New Roman" w:hAnsi="Times New Roman"/>
          <w:color w:val="000000"/>
          <w:szCs w:val="21"/>
          <w:highlight w:val="none"/>
        </w:rPr>
        <w:t>年</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月</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日</w:t>
      </w:r>
    </w:p>
    <w:p w14:paraId="761DA4B0">
      <w:pPr>
        <w:shd w:val="clear"/>
        <w:spacing w:line="300" w:lineRule="auto"/>
        <w:ind w:firstLine="5760" w:firstLineChars="2400"/>
        <w:rPr>
          <w:rFonts w:ascii="Times New Roman" w:hAnsi="Times New Roman"/>
          <w:color w:val="000000"/>
          <w:szCs w:val="21"/>
          <w:highlight w:val="none"/>
        </w:rPr>
      </w:pPr>
    </w:p>
    <w:p w14:paraId="7BDC8BF7">
      <w:pPr>
        <w:keepNext/>
        <w:keepLines/>
        <w:shd w:val="clear"/>
        <w:spacing w:before="240" w:beforeLines="100" w:after="120" w:line="520" w:lineRule="exact"/>
        <w:ind w:right="601"/>
        <w:outlineLvl w:val="1"/>
        <w:rPr>
          <w:rFonts w:cs="仿宋"/>
          <w:highlight w:val="none"/>
        </w:rPr>
      </w:pPr>
      <w:r>
        <w:rPr>
          <w:rFonts w:ascii="Times New Roman" w:hAnsi="Times New Roman" w:eastAsia="黑体"/>
          <w:color w:val="000000"/>
          <w:sz w:val="20"/>
          <w:highlight w:val="none"/>
        </w:rPr>
        <w:br w:type="page"/>
      </w:r>
      <w:bookmarkStart w:id="174" w:name="_Toc31858_WPSOffice_Level1"/>
      <w:bookmarkStart w:id="175" w:name="_Toc13673_WPSOffice_Level1"/>
      <w:r>
        <w:rPr>
          <w:rFonts w:hint="eastAsia" w:cs="仿宋"/>
          <w:highlight w:val="none"/>
        </w:rPr>
        <w:t>2、</w:t>
      </w:r>
      <w:r>
        <w:rPr>
          <w:rFonts w:hint="eastAsia" w:cs="仿宋"/>
          <w:highlight w:val="none"/>
          <w:lang w:val="zh-TW" w:eastAsia="zh-TW"/>
        </w:rPr>
        <w:t>法定代表人身份证明</w:t>
      </w:r>
      <w:bookmarkEnd w:id="174"/>
      <w:bookmarkEnd w:id="175"/>
    </w:p>
    <w:p w14:paraId="2CA3DA67">
      <w:pPr>
        <w:pStyle w:val="5"/>
        <w:shd w:val="clear"/>
        <w:spacing w:before="0" w:after="0" w:line="300" w:lineRule="auto"/>
        <w:jc w:val="center"/>
        <w:rPr>
          <w:rFonts w:hint="eastAsia" w:ascii="Times New Roman" w:hAnsi="Times New Roman"/>
          <w:b w:val="0"/>
          <w:bCs w:val="0"/>
          <w:color w:val="000000"/>
          <w:highlight w:val="none"/>
          <w:lang w:val="zh-TW" w:eastAsia="zh-TW"/>
        </w:rPr>
      </w:pPr>
      <w:r>
        <w:rPr>
          <w:rFonts w:hint="eastAsia" w:ascii="Times New Roman" w:hAnsi="Times New Roman"/>
          <w:b w:val="0"/>
          <w:bCs w:val="0"/>
          <w:color w:val="000000"/>
          <w:highlight w:val="none"/>
          <w:lang w:val="zh-TW" w:eastAsia="zh-TW"/>
        </w:rPr>
        <w:t>法定代表人身份证明(适用于法定代表人投标时)</w:t>
      </w:r>
    </w:p>
    <w:p w14:paraId="2B59D3D6">
      <w:pPr>
        <w:shd w:val="clear"/>
        <w:tabs>
          <w:tab w:val="left" w:leader="underscore" w:pos="3773"/>
        </w:tabs>
        <w:spacing w:before="240" w:beforeLines="100" w:line="520" w:lineRule="exact"/>
        <w:rPr>
          <w:rFonts w:ascii="仿宋" w:hAnsi="仿宋" w:eastAsia="仿宋"/>
          <w:sz w:val="28"/>
          <w:szCs w:val="28"/>
          <w:highlight w:val="none"/>
        </w:rPr>
      </w:pPr>
      <w:r>
        <w:rPr>
          <w:rFonts w:hint="eastAsia"/>
          <w:highlight w:val="none"/>
        </w:rPr>
        <w:t>投标人名称：</w:t>
      </w:r>
      <w:r>
        <w:rPr>
          <w:rFonts w:ascii="仿宋" w:hAnsi="仿宋" w:eastAsia="仿宋"/>
          <w:sz w:val="28"/>
          <w:szCs w:val="28"/>
          <w:highlight w:val="none"/>
        </w:rPr>
        <w:tab/>
      </w:r>
    </w:p>
    <w:p w14:paraId="09449F9B">
      <w:pPr>
        <w:shd w:val="clear"/>
        <w:tabs>
          <w:tab w:val="left" w:leader="underscore" w:pos="2304"/>
          <w:tab w:val="left" w:leader="underscore" w:pos="3773"/>
          <w:tab w:val="left" w:leader="underscore" w:pos="5262"/>
          <w:tab w:val="left" w:leader="underscore" w:pos="6715"/>
        </w:tabs>
        <w:spacing w:line="520" w:lineRule="exact"/>
        <w:rPr>
          <w:rFonts w:ascii="仿宋" w:hAnsi="仿宋" w:eastAsia="仿宋"/>
          <w:sz w:val="28"/>
          <w:szCs w:val="28"/>
          <w:highlight w:val="none"/>
        </w:rPr>
      </w:pPr>
      <w:r>
        <w:rPr>
          <w:rFonts w:hint="eastAsia"/>
          <w:highlight w:val="none"/>
        </w:rPr>
        <w:t>姓名</w:t>
      </w:r>
      <w:r>
        <w:rPr>
          <w:rFonts w:ascii="仿宋" w:hAnsi="仿宋" w:eastAsia="仿宋"/>
          <w:sz w:val="28"/>
          <w:szCs w:val="28"/>
          <w:highlight w:val="none"/>
        </w:rPr>
        <w:t>：</w:t>
      </w:r>
      <w:r>
        <w:rPr>
          <w:rFonts w:ascii="仿宋" w:hAnsi="仿宋" w:eastAsia="仿宋"/>
          <w:sz w:val="28"/>
          <w:szCs w:val="28"/>
          <w:highlight w:val="none"/>
        </w:rPr>
        <w:tab/>
      </w:r>
      <w:r>
        <w:rPr>
          <w:rFonts w:hint="eastAsia"/>
          <w:highlight w:val="none"/>
        </w:rPr>
        <w:t>性别：</w:t>
      </w:r>
      <w:r>
        <w:rPr>
          <w:rFonts w:ascii="仿宋" w:hAnsi="仿宋" w:eastAsia="仿宋"/>
          <w:sz w:val="28"/>
          <w:szCs w:val="28"/>
          <w:highlight w:val="none"/>
        </w:rPr>
        <w:tab/>
      </w:r>
      <w:r>
        <w:rPr>
          <w:rFonts w:hint="eastAsia"/>
          <w:highlight w:val="none"/>
        </w:rPr>
        <w:t>年龄</w:t>
      </w:r>
      <w:r>
        <w:rPr>
          <w:rFonts w:ascii="仿宋" w:hAnsi="仿宋" w:eastAsia="仿宋"/>
          <w:sz w:val="28"/>
          <w:szCs w:val="28"/>
          <w:highlight w:val="none"/>
        </w:rPr>
        <w:t>：</w:t>
      </w:r>
      <w:r>
        <w:rPr>
          <w:rFonts w:ascii="仿宋" w:hAnsi="仿宋" w:eastAsia="仿宋"/>
          <w:sz w:val="28"/>
          <w:szCs w:val="28"/>
          <w:highlight w:val="none"/>
        </w:rPr>
        <w:tab/>
      </w:r>
      <w:r>
        <w:rPr>
          <w:rFonts w:hint="eastAsia"/>
          <w:highlight w:val="none"/>
        </w:rPr>
        <w:t>职务：</w:t>
      </w:r>
      <w:r>
        <w:rPr>
          <w:rFonts w:ascii="仿宋" w:hAnsi="仿宋" w:eastAsia="仿宋"/>
          <w:sz w:val="28"/>
          <w:szCs w:val="28"/>
          <w:highlight w:val="none"/>
        </w:rPr>
        <w:tab/>
      </w:r>
    </w:p>
    <w:p w14:paraId="18339A9E">
      <w:pPr>
        <w:shd w:val="clear"/>
        <w:tabs>
          <w:tab w:val="left" w:leader="underscore" w:pos="2731"/>
        </w:tabs>
        <w:spacing w:line="520" w:lineRule="exact"/>
        <w:rPr>
          <w:rFonts w:ascii="仿宋" w:hAnsi="仿宋" w:eastAsia="仿宋"/>
          <w:sz w:val="28"/>
          <w:szCs w:val="28"/>
          <w:highlight w:val="none"/>
        </w:rPr>
      </w:pPr>
      <w:r>
        <w:rPr>
          <w:rFonts w:hint="eastAsia"/>
          <w:highlight w:val="none"/>
        </w:rPr>
        <w:t>系</w:t>
      </w:r>
      <w:r>
        <w:rPr>
          <w:rFonts w:ascii="仿宋" w:hAnsi="仿宋" w:eastAsia="仿宋"/>
          <w:sz w:val="28"/>
          <w:szCs w:val="28"/>
          <w:highlight w:val="none"/>
        </w:rPr>
        <w:tab/>
      </w:r>
      <w:r>
        <w:rPr>
          <w:rFonts w:ascii="仿宋" w:hAnsi="仿宋" w:eastAsia="仿宋"/>
          <w:sz w:val="28"/>
          <w:szCs w:val="28"/>
          <w:highlight w:val="none"/>
        </w:rPr>
        <w:t>(</w:t>
      </w:r>
      <w:r>
        <w:rPr>
          <w:rFonts w:hint="eastAsia"/>
          <w:highlight w:val="none"/>
        </w:rPr>
        <w:t>投标人名称）的法定代表人（单位负责人)</w:t>
      </w:r>
    </w:p>
    <w:p w14:paraId="658D4E13">
      <w:pPr>
        <w:shd w:val="clear"/>
        <w:tabs>
          <w:tab w:val="left" w:leader="underscore" w:pos="2731"/>
        </w:tabs>
        <w:spacing w:line="520" w:lineRule="exact"/>
        <w:rPr>
          <w:rFonts w:hint="eastAsia"/>
          <w:highlight w:val="none"/>
        </w:rPr>
      </w:pPr>
      <w:r>
        <w:rPr>
          <w:rFonts w:hint="eastAsia"/>
          <w:highlight w:val="none"/>
        </w:rPr>
        <w:t>特此证明。</w:t>
      </w:r>
    </w:p>
    <w:p w14:paraId="3DE84E42">
      <w:pPr>
        <w:shd w:val="clear"/>
        <w:tabs>
          <w:tab w:val="left" w:leader="underscore" w:pos="2731"/>
        </w:tabs>
        <w:spacing w:line="520" w:lineRule="exact"/>
        <w:rPr>
          <w:rFonts w:hint="eastAsia"/>
          <w:highlight w:val="none"/>
        </w:rPr>
      </w:pPr>
      <w:r>
        <w:rPr>
          <w:rFonts w:hint="eastAsia"/>
          <w:highlight w:val="none"/>
        </w:rPr>
        <w:t>附：法定代表人（单位负责人）身份证复印件。</w:t>
      </w:r>
    </w:p>
    <w:p w14:paraId="2C834DEC">
      <w:pPr>
        <w:shd w:val="clear"/>
        <w:tabs>
          <w:tab w:val="left" w:leader="underscore" w:pos="2731"/>
        </w:tabs>
        <w:spacing w:line="520" w:lineRule="exact"/>
        <w:rPr>
          <w:rFonts w:hint="eastAsia"/>
          <w:highlight w:val="none"/>
        </w:rPr>
      </w:pPr>
      <w:r>
        <w:rPr>
          <w:rFonts w:hint="eastAsia"/>
          <w:highlight w:val="none"/>
        </w:rPr>
        <w:t>注：本身份证明需由投标人加盖单位公章。</w:t>
      </w:r>
    </w:p>
    <w:p w14:paraId="7F23ED0E">
      <w:pPr>
        <w:shd w:val="clear"/>
        <w:spacing w:after="1057" w:line="520" w:lineRule="exact"/>
        <w:rPr>
          <w:rFonts w:ascii="仿宋" w:hAnsi="仿宋" w:eastAsia="仿宋"/>
          <w:sz w:val="28"/>
          <w:szCs w:val="28"/>
          <w:highlight w:val="none"/>
        </w:rPr>
      </w:pPr>
    </w:p>
    <w:p w14:paraId="61F761BC">
      <w:pPr>
        <w:shd w:val="clear"/>
        <w:tabs>
          <w:tab w:val="left" w:leader="underscore" w:pos="6434"/>
        </w:tabs>
        <w:spacing w:after="642" w:line="520" w:lineRule="exact"/>
        <w:ind w:left="4140"/>
        <w:rPr>
          <w:rFonts w:hint="eastAsia"/>
          <w:highlight w:val="none"/>
        </w:rPr>
      </w:pPr>
      <w:r>
        <w:rPr>
          <w:rFonts w:hint="eastAsia"/>
          <w:color w:val="000000"/>
          <w:spacing w:val="-10"/>
          <w:highlight w:val="none"/>
          <w:lang w:val="zh-TW" w:eastAsia="zh-TW" w:bidi="zh-TW"/>
        </w:rPr>
        <w:t>投标人：</w:t>
      </w:r>
      <w:r>
        <w:rPr>
          <w:rFonts w:hint="eastAsia"/>
          <w:highlight w:val="none"/>
        </w:rPr>
        <w:tab/>
      </w:r>
      <w:r>
        <w:rPr>
          <w:rFonts w:hint="eastAsia"/>
          <w:highlight w:val="none"/>
        </w:rPr>
        <w:t>(单位公章)</w:t>
      </w:r>
    </w:p>
    <w:p w14:paraId="1330FB3A">
      <w:pPr>
        <w:shd w:val="clear"/>
        <w:tabs>
          <w:tab w:val="left" w:leader="underscore" w:pos="5262"/>
          <w:tab w:val="left" w:leader="underscore" w:pos="5980"/>
          <w:tab w:val="left" w:leader="underscore" w:pos="6958"/>
        </w:tabs>
        <w:spacing w:line="520" w:lineRule="exact"/>
        <w:ind w:left="4640"/>
        <w:rPr>
          <w:rFonts w:hint="eastAsia"/>
          <w:highlight w:val="none"/>
        </w:rPr>
      </w:pPr>
      <w:r>
        <w:rPr>
          <w:rFonts w:hint="eastAsia"/>
          <w:highlight w:val="none"/>
        </w:rPr>
        <w:t>年月日</w:t>
      </w:r>
    </w:p>
    <w:p w14:paraId="6FF23DF9">
      <w:pPr>
        <w:shd w:val="clear"/>
        <w:spacing w:line="360" w:lineRule="auto"/>
        <w:ind w:firstLine="400" w:firstLineChars="200"/>
        <w:rPr>
          <w:rFonts w:ascii="Times New Roman" w:hAnsi="Times New Roman" w:eastAsia="黑体"/>
          <w:color w:val="000000"/>
          <w:sz w:val="20"/>
          <w:highlight w:val="none"/>
        </w:rPr>
      </w:pPr>
    </w:p>
    <w:p w14:paraId="27B6BD3E">
      <w:pPr>
        <w:pStyle w:val="2"/>
        <w:shd w:val="clear"/>
        <w:ind w:left="480" w:firstLine="400"/>
        <w:rPr>
          <w:rFonts w:eastAsia="黑体"/>
          <w:color w:val="000000"/>
          <w:sz w:val="20"/>
          <w:highlight w:val="none"/>
        </w:rPr>
      </w:pPr>
    </w:p>
    <w:p w14:paraId="0BB2930B">
      <w:pPr>
        <w:pStyle w:val="2"/>
        <w:shd w:val="clear"/>
        <w:ind w:left="480" w:firstLine="400"/>
        <w:rPr>
          <w:rFonts w:eastAsia="黑体"/>
          <w:color w:val="000000"/>
          <w:sz w:val="20"/>
          <w:highlight w:val="none"/>
        </w:rPr>
      </w:pPr>
    </w:p>
    <w:p w14:paraId="4C8A6FC8">
      <w:pPr>
        <w:pStyle w:val="2"/>
        <w:shd w:val="clear"/>
        <w:ind w:left="480" w:firstLine="400"/>
        <w:rPr>
          <w:rFonts w:eastAsia="黑体"/>
          <w:color w:val="000000"/>
          <w:sz w:val="20"/>
          <w:highlight w:val="none"/>
        </w:rPr>
      </w:pPr>
    </w:p>
    <w:p w14:paraId="4F050150">
      <w:pPr>
        <w:pStyle w:val="2"/>
        <w:shd w:val="clear"/>
        <w:ind w:left="480" w:firstLine="400"/>
        <w:rPr>
          <w:rFonts w:eastAsia="黑体"/>
          <w:color w:val="000000"/>
          <w:sz w:val="20"/>
          <w:highlight w:val="none"/>
        </w:rPr>
      </w:pPr>
    </w:p>
    <w:p w14:paraId="33B5D99F">
      <w:pPr>
        <w:pStyle w:val="2"/>
        <w:shd w:val="clear"/>
        <w:ind w:left="480" w:firstLine="400"/>
        <w:rPr>
          <w:rFonts w:eastAsia="黑体"/>
          <w:color w:val="000000"/>
          <w:sz w:val="20"/>
          <w:highlight w:val="none"/>
        </w:rPr>
      </w:pPr>
    </w:p>
    <w:p w14:paraId="6E951FDA">
      <w:pPr>
        <w:pStyle w:val="2"/>
        <w:shd w:val="clear"/>
        <w:ind w:left="480" w:firstLine="400"/>
        <w:rPr>
          <w:rFonts w:eastAsia="黑体"/>
          <w:color w:val="000000"/>
          <w:sz w:val="20"/>
          <w:highlight w:val="none"/>
        </w:rPr>
      </w:pPr>
    </w:p>
    <w:p w14:paraId="7A572A3A">
      <w:pPr>
        <w:pStyle w:val="2"/>
        <w:shd w:val="clear"/>
        <w:ind w:left="480" w:firstLine="400"/>
        <w:rPr>
          <w:rFonts w:eastAsia="黑体"/>
          <w:color w:val="000000"/>
          <w:sz w:val="20"/>
          <w:highlight w:val="none"/>
        </w:rPr>
      </w:pPr>
    </w:p>
    <w:p w14:paraId="3D6B8BA4">
      <w:pPr>
        <w:pStyle w:val="2"/>
        <w:shd w:val="clear"/>
        <w:ind w:left="480" w:firstLine="400"/>
        <w:rPr>
          <w:rFonts w:eastAsia="黑体"/>
          <w:color w:val="000000"/>
          <w:sz w:val="20"/>
          <w:highlight w:val="none"/>
        </w:rPr>
      </w:pPr>
    </w:p>
    <w:p w14:paraId="75AA2924">
      <w:pPr>
        <w:pStyle w:val="2"/>
        <w:shd w:val="clear"/>
        <w:ind w:left="480" w:firstLine="400"/>
        <w:rPr>
          <w:rFonts w:eastAsia="黑体"/>
          <w:color w:val="000000"/>
          <w:sz w:val="20"/>
          <w:highlight w:val="none"/>
        </w:rPr>
      </w:pPr>
    </w:p>
    <w:p w14:paraId="00935F87">
      <w:pPr>
        <w:pStyle w:val="2"/>
        <w:shd w:val="clear"/>
        <w:ind w:left="480" w:firstLine="400"/>
        <w:rPr>
          <w:rFonts w:eastAsia="黑体"/>
          <w:color w:val="000000"/>
          <w:sz w:val="20"/>
          <w:highlight w:val="none"/>
        </w:rPr>
      </w:pPr>
    </w:p>
    <w:p w14:paraId="691C6DCE">
      <w:pPr>
        <w:pStyle w:val="2"/>
        <w:shd w:val="clear"/>
        <w:ind w:left="480" w:firstLine="400"/>
        <w:rPr>
          <w:rFonts w:eastAsia="黑体"/>
          <w:color w:val="000000"/>
          <w:sz w:val="20"/>
          <w:highlight w:val="none"/>
        </w:rPr>
      </w:pPr>
    </w:p>
    <w:p w14:paraId="1D1E1C3C">
      <w:pPr>
        <w:pStyle w:val="2"/>
        <w:shd w:val="clear"/>
        <w:ind w:left="480" w:firstLine="400"/>
        <w:rPr>
          <w:rFonts w:eastAsia="黑体"/>
          <w:color w:val="000000"/>
          <w:sz w:val="20"/>
          <w:highlight w:val="none"/>
        </w:rPr>
      </w:pPr>
    </w:p>
    <w:p w14:paraId="50494F00">
      <w:pPr>
        <w:pStyle w:val="2"/>
        <w:shd w:val="clear"/>
        <w:ind w:left="480" w:firstLine="400"/>
        <w:rPr>
          <w:rFonts w:eastAsia="黑体"/>
          <w:color w:val="000000"/>
          <w:sz w:val="20"/>
          <w:highlight w:val="none"/>
        </w:rPr>
      </w:pPr>
    </w:p>
    <w:p w14:paraId="66C7DA0C">
      <w:pPr>
        <w:pStyle w:val="2"/>
        <w:shd w:val="clear"/>
        <w:ind w:left="480" w:firstLine="400"/>
        <w:rPr>
          <w:rFonts w:eastAsia="黑体"/>
          <w:color w:val="000000"/>
          <w:sz w:val="20"/>
          <w:highlight w:val="none"/>
        </w:rPr>
      </w:pPr>
    </w:p>
    <w:p w14:paraId="596511E6">
      <w:pPr>
        <w:pStyle w:val="2"/>
        <w:shd w:val="clear"/>
        <w:ind w:left="480" w:firstLine="400"/>
        <w:rPr>
          <w:rFonts w:eastAsia="黑体"/>
          <w:color w:val="000000"/>
          <w:sz w:val="20"/>
          <w:highlight w:val="none"/>
        </w:rPr>
      </w:pPr>
    </w:p>
    <w:p w14:paraId="5EA3470C">
      <w:pPr>
        <w:pStyle w:val="2"/>
        <w:shd w:val="clear"/>
        <w:ind w:left="480" w:firstLine="400"/>
        <w:rPr>
          <w:rFonts w:eastAsia="黑体"/>
          <w:color w:val="000000"/>
          <w:sz w:val="20"/>
          <w:highlight w:val="none"/>
        </w:rPr>
      </w:pPr>
    </w:p>
    <w:p w14:paraId="01E552F8">
      <w:pPr>
        <w:shd w:val="clear"/>
        <w:spacing w:line="360" w:lineRule="auto"/>
        <w:ind w:firstLine="480" w:firstLineChars="200"/>
        <w:rPr>
          <w:rFonts w:cs="仿宋"/>
          <w:highlight w:val="none"/>
        </w:rPr>
      </w:pPr>
      <w:bookmarkStart w:id="176" w:name="_Toc25293_WPSOffice_Level1"/>
      <w:bookmarkStart w:id="177" w:name="_Toc14_WPSOffice_Level1"/>
      <w:r>
        <w:rPr>
          <w:rFonts w:hint="eastAsia" w:cs="仿宋"/>
          <w:highlight w:val="none"/>
        </w:rPr>
        <w:t>3、授权委托书</w:t>
      </w:r>
      <w:bookmarkEnd w:id="176"/>
      <w:bookmarkEnd w:id="177"/>
    </w:p>
    <w:p w14:paraId="72BB81F7">
      <w:pPr>
        <w:pStyle w:val="5"/>
        <w:shd w:val="clear"/>
        <w:spacing w:before="0" w:after="0" w:line="300" w:lineRule="auto"/>
        <w:jc w:val="center"/>
        <w:rPr>
          <w:rFonts w:ascii="Times New Roman" w:hAnsi="Times New Roman"/>
          <w:b w:val="0"/>
          <w:bCs w:val="0"/>
          <w:color w:val="000000"/>
          <w:highlight w:val="none"/>
        </w:rPr>
      </w:pPr>
      <w:r>
        <w:rPr>
          <w:rFonts w:hint="eastAsia" w:ascii="Times New Roman" w:hAnsi="Times New Roman"/>
          <w:b w:val="0"/>
          <w:bCs w:val="0"/>
          <w:color w:val="000000"/>
          <w:highlight w:val="none"/>
        </w:rPr>
        <w:t>授权委托书</w:t>
      </w:r>
      <w:r>
        <w:rPr>
          <w:rFonts w:hint="eastAsia" w:ascii="仿宋" w:hAnsi="仿宋" w:eastAsia="仿宋" w:cs="MingLiU"/>
          <w:color w:val="000000"/>
          <w:sz w:val="30"/>
          <w:szCs w:val="30"/>
          <w:highlight w:val="none"/>
          <w:shd w:val="clear" w:color="auto" w:fill="FFFFFF"/>
          <w:lang w:val="zh-TW" w:eastAsia="zh-TW" w:bidi="zh-TW"/>
        </w:rPr>
        <w:t>(适用于委托代理人投标时)</w:t>
      </w:r>
    </w:p>
    <w:p w14:paraId="4C94FD9A">
      <w:pPr>
        <w:shd w:val="clear"/>
        <w:spacing w:line="300" w:lineRule="auto"/>
        <w:rPr>
          <w:rFonts w:ascii="Times New Roman" w:hAnsi="Times New Roman" w:eastAsia="黑体"/>
          <w:color w:val="000000"/>
          <w:szCs w:val="21"/>
          <w:highlight w:val="none"/>
        </w:rPr>
      </w:pPr>
    </w:p>
    <w:p w14:paraId="6AA4DD32">
      <w:pPr>
        <w:shd w:val="clear"/>
        <w:topLinePunct/>
        <w:spacing w:line="300" w:lineRule="auto"/>
        <w:ind w:firstLine="480" w:firstLineChars="200"/>
        <w:rPr>
          <w:rFonts w:ascii="Times New Roman" w:hAnsi="Times New Roman"/>
          <w:color w:val="000000"/>
          <w:szCs w:val="21"/>
          <w:highlight w:val="none"/>
        </w:rPr>
      </w:pPr>
      <w:r>
        <w:rPr>
          <w:rFonts w:hint="eastAsia" w:ascii="Times New Roman" w:hAnsi="Times New Roman"/>
          <w:color w:val="000000"/>
          <w:szCs w:val="21"/>
          <w:highlight w:val="none"/>
        </w:rPr>
        <w:t>本人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（姓名）系</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（名称）的法定代表人，现委托</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（姓名）为我方代理人。代理人根据授权，以我方名义签署、澄清、说明、补正、递交、撤回、修改</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（项目名称）投标文件、签订合同和处理有关事宜，其法律后果由我方承担。</w:t>
      </w:r>
    </w:p>
    <w:p w14:paraId="7E8A3C9C">
      <w:pPr>
        <w:shd w:val="clear"/>
        <w:spacing w:line="300" w:lineRule="auto"/>
        <w:rPr>
          <w:rFonts w:ascii="Times New Roman" w:hAnsi="Times New Roman"/>
          <w:color w:val="000000"/>
          <w:szCs w:val="21"/>
          <w:highlight w:val="none"/>
        </w:rPr>
      </w:pPr>
      <w:r>
        <w:rPr>
          <w:rFonts w:ascii="Times New Roman" w:hAnsi="Times New Roman"/>
          <w:color w:val="000000"/>
          <w:szCs w:val="21"/>
          <w:highlight w:val="none"/>
        </w:rPr>
        <w:t xml:space="preserve">    </w:t>
      </w:r>
      <w:r>
        <w:rPr>
          <w:rFonts w:hint="eastAsia" w:ascii="Times New Roman" w:hAnsi="Times New Roman"/>
          <w:color w:val="000000"/>
          <w:szCs w:val="21"/>
          <w:highlight w:val="none"/>
        </w:rPr>
        <w:t>委托期限：</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w:t>
      </w:r>
    </w:p>
    <w:p w14:paraId="446078DA">
      <w:pPr>
        <w:shd w:val="clear"/>
        <w:spacing w:line="300" w:lineRule="auto"/>
        <w:ind w:firstLine="480" w:firstLineChars="200"/>
        <w:rPr>
          <w:rFonts w:ascii="Times New Roman" w:hAnsi="Times New Roman"/>
          <w:color w:val="000000"/>
          <w:szCs w:val="21"/>
          <w:highlight w:val="none"/>
        </w:rPr>
      </w:pPr>
      <w:r>
        <w:rPr>
          <w:rFonts w:hint="eastAsia" w:ascii="Times New Roman" w:hAnsi="Times New Roman"/>
          <w:color w:val="000000"/>
          <w:szCs w:val="21"/>
          <w:highlight w:val="none"/>
        </w:rPr>
        <w:t>代理人无转委托权。</w:t>
      </w:r>
    </w:p>
    <w:p w14:paraId="19DD4985">
      <w:pPr>
        <w:shd w:val="clear"/>
        <w:topLinePunct/>
        <w:spacing w:line="360" w:lineRule="auto"/>
        <w:ind w:firstLine="480" w:firstLineChars="200"/>
        <w:rPr>
          <w:rFonts w:cs="仿宋"/>
          <w:highlight w:val="none"/>
        </w:rPr>
      </w:pPr>
      <w:r>
        <w:rPr>
          <w:rFonts w:hint="eastAsia" w:cs="仿宋"/>
          <w:highlight w:val="none"/>
        </w:rPr>
        <w:t>附：（1）法定代表人身份证复印件。</w:t>
      </w:r>
    </w:p>
    <w:p w14:paraId="2D5B932A">
      <w:pPr>
        <w:shd w:val="clear"/>
        <w:topLinePunct/>
        <w:spacing w:line="360" w:lineRule="auto"/>
        <w:ind w:firstLine="960" w:firstLineChars="400"/>
        <w:rPr>
          <w:rFonts w:hint="eastAsia" w:cs="仿宋"/>
          <w:highlight w:val="none"/>
        </w:rPr>
      </w:pPr>
      <w:r>
        <w:rPr>
          <w:rFonts w:hint="eastAsia" w:cs="仿宋"/>
          <w:highlight w:val="none"/>
        </w:rPr>
        <w:t>（2）委托代理人身份证复印件。</w:t>
      </w:r>
    </w:p>
    <w:p w14:paraId="46B86192">
      <w:pPr>
        <w:shd w:val="clear"/>
        <w:topLinePunct/>
        <w:spacing w:line="360" w:lineRule="auto"/>
        <w:ind w:firstLine="960" w:firstLineChars="400"/>
        <w:rPr>
          <w:rFonts w:hint="eastAsia" w:cs="仿宋"/>
          <w:highlight w:val="none"/>
        </w:rPr>
      </w:pPr>
      <w:r>
        <w:rPr>
          <w:rFonts w:hint="eastAsia" w:cs="仿宋"/>
          <w:highlight w:val="none"/>
        </w:rPr>
        <w:t>（3）委托代理人社保证明。</w:t>
      </w:r>
    </w:p>
    <w:p w14:paraId="20744F5F">
      <w:pPr>
        <w:shd w:val="clear"/>
        <w:spacing w:line="300" w:lineRule="auto"/>
        <w:rPr>
          <w:rFonts w:ascii="Times New Roman" w:hAnsi="Times New Roman"/>
          <w:color w:val="000000"/>
          <w:szCs w:val="21"/>
          <w:highlight w:val="none"/>
        </w:rPr>
      </w:pPr>
    </w:p>
    <w:p w14:paraId="66326EF7">
      <w:pPr>
        <w:shd w:val="clear"/>
        <w:spacing w:line="300" w:lineRule="auto"/>
        <w:rPr>
          <w:rFonts w:ascii="Times New Roman" w:hAnsi="Times New Roman"/>
          <w:color w:val="000000"/>
          <w:szCs w:val="21"/>
          <w:highlight w:val="none"/>
        </w:rPr>
      </w:pPr>
    </w:p>
    <w:p w14:paraId="711B7FFC">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投标人：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（盖单位章）</w:t>
      </w:r>
    </w:p>
    <w:p w14:paraId="62EE4AFB">
      <w:pPr>
        <w:shd w:val="clear"/>
        <w:spacing w:line="300" w:lineRule="auto"/>
        <w:rPr>
          <w:rFonts w:ascii="Times New Roman" w:hAnsi="Times New Roman"/>
          <w:color w:val="000000"/>
          <w:szCs w:val="21"/>
          <w:highlight w:val="none"/>
        </w:rPr>
      </w:pPr>
    </w:p>
    <w:p w14:paraId="464B27F8">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法定代表人：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（签字并盖章）</w:t>
      </w:r>
    </w:p>
    <w:p w14:paraId="1CBF8A53">
      <w:pPr>
        <w:shd w:val="clear"/>
        <w:spacing w:line="300" w:lineRule="auto"/>
        <w:rPr>
          <w:rFonts w:ascii="Times New Roman" w:hAnsi="Times New Roman"/>
          <w:color w:val="000000"/>
          <w:szCs w:val="21"/>
          <w:highlight w:val="none"/>
        </w:rPr>
      </w:pPr>
    </w:p>
    <w:p w14:paraId="12DC5432">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身份证号码：</w:t>
      </w:r>
      <w:r>
        <w:rPr>
          <w:rFonts w:ascii="Times New Roman" w:hAnsi="Times New Roman"/>
          <w:color w:val="000000"/>
          <w:szCs w:val="21"/>
          <w:highlight w:val="none"/>
          <w:u w:val="single"/>
        </w:rPr>
        <w:t xml:space="preserve">                                     </w:t>
      </w:r>
    </w:p>
    <w:p w14:paraId="16792CDC">
      <w:pPr>
        <w:shd w:val="clear"/>
        <w:spacing w:line="300" w:lineRule="auto"/>
        <w:rPr>
          <w:rFonts w:ascii="Times New Roman" w:hAnsi="Times New Roman"/>
          <w:color w:val="000000"/>
          <w:szCs w:val="21"/>
          <w:highlight w:val="none"/>
        </w:rPr>
      </w:pPr>
    </w:p>
    <w:p w14:paraId="0F99C8A0">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委托代理人：</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（签字）</w:t>
      </w:r>
      <w:r>
        <w:rPr>
          <w:rFonts w:ascii="Times New Roman" w:hAnsi="Times New Roman"/>
          <w:color w:val="000000"/>
          <w:szCs w:val="21"/>
          <w:highlight w:val="none"/>
        </w:rPr>
        <w:t xml:space="preserve"> </w:t>
      </w:r>
    </w:p>
    <w:p w14:paraId="105AACE3">
      <w:pPr>
        <w:shd w:val="clear"/>
        <w:spacing w:line="300" w:lineRule="auto"/>
        <w:rPr>
          <w:rFonts w:ascii="Times New Roman" w:hAnsi="Times New Roman"/>
          <w:color w:val="000000"/>
          <w:szCs w:val="21"/>
          <w:highlight w:val="none"/>
        </w:rPr>
      </w:pPr>
    </w:p>
    <w:p w14:paraId="08D634EB">
      <w:pPr>
        <w:shd w:val="clear"/>
        <w:spacing w:line="300" w:lineRule="auto"/>
        <w:rPr>
          <w:rFonts w:ascii="Times New Roman" w:hAnsi="Times New Roman"/>
          <w:color w:val="000000"/>
          <w:szCs w:val="21"/>
          <w:highlight w:val="none"/>
        </w:rPr>
      </w:pPr>
      <w:r>
        <w:rPr>
          <w:rFonts w:hint="eastAsia" w:ascii="Times New Roman" w:hAnsi="Times New Roman"/>
          <w:color w:val="000000"/>
          <w:szCs w:val="21"/>
          <w:highlight w:val="none"/>
        </w:rPr>
        <w:t>身份证号码：</w:t>
      </w:r>
      <w:r>
        <w:rPr>
          <w:rFonts w:ascii="Times New Roman" w:hAnsi="Times New Roman"/>
          <w:color w:val="000000"/>
          <w:szCs w:val="21"/>
          <w:highlight w:val="none"/>
          <w:u w:val="single"/>
        </w:rPr>
        <w:t xml:space="preserve">                                      </w:t>
      </w:r>
    </w:p>
    <w:p w14:paraId="1ED41647">
      <w:pPr>
        <w:shd w:val="clear"/>
        <w:spacing w:line="300" w:lineRule="auto"/>
        <w:rPr>
          <w:rFonts w:ascii="Times New Roman" w:hAnsi="Times New Roman"/>
          <w:color w:val="000000"/>
          <w:szCs w:val="21"/>
          <w:highlight w:val="none"/>
        </w:rPr>
      </w:pPr>
    </w:p>
    <w:p w14:paraId="67B1F8B2">
      <w:pPr>
        <w:shd w:val="clear"/>
        <w:spacing w:line="300" w:lineRule="auto"/>
        <w:rPr>
          <w:rFonts w:ascii="Times New Roman" w:hAnsi="Times New Roman"/>
          <w:color w:val="000000"/>
          <w:szCs w:val="21"/>
          <w:highlight w:val="none"/>
        </w:rPr>
      </w:pPr>
    </w:p>
    <w:p w14:paraId="5964E2A8">
      <w:pPr>
        <w:shd w:val="clear"/>
        <w:spacing w:line="300" w:lineRule="auto"/>
        <w:ind w:firstLine="2640" w:firstLineChars="1100"/>
        <w:rPr>
          <w:rFonts w:ascii="Times New Roman" w:hAnsi="Times New Roman" w:eastAsia="黑体"/>
          <w:color w:val="000000"/>
          <w:szCs w:val="21"/>
          <w:highlight w:val="none"/>
        </w:rPr>
      </w:pP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年</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月</w:t>
      </w:r>
      <w:r>
        <w:rPr>
          <w:rFonts w:ascii="Times New Roman" w:hAnsi="Times New Roman"/>
          <w:color w:val="000000"/>
          <w:szCs w:val="21"/>
          <w:highlight w:val="none"/>
          <w:u w:val="single"/>
        </w:rPr>
        <w:t xml:space="preserve">       </w:t>
      </w:r>
      <w:r>
        <w:rPr>
          <w:rFonts w:hint="eastAsia" w:ascii="Times New Roman" w:hAnsi="Times New Roman"/>
          <w:color w:val="000000"/>
          <w:szCs w:val="21"/>
          <w:highlight w:val="none"/>
        </w:rPr>
        <w:t>日</w:t>
      </w:r>
    </w:p>
    <w:p w14:paraId="15A351A1">
      <w:pPr>
        <w:shd w:val="clear"/>
        <w:spacing w:line="300" w:lineRule="auto"/>
        <w:ind w:left="480" w:hanging="482" w:hangingChars="200"/>
        <w:rPr>
          <w:rFonts w:ascii="Times New Roman" w:hAnsi="Times New Roman" w:eastAsia="楷体_GB2312"/>
          <w:b/>
          <w:color w:val="000000"/>
          <w:highlight w:val="none"/>
          <w:lang w:val="zh-CN"/>
        </w:rPr>
      </w:pPr>
    </w:p>
    <w:p w14:paraId="3D58896B">
      <w:pPr>
        <w:shd w:val="clear"/>
        <w:spacing w:line="300" w:lineRule="auto"/>
        <w:rPr>
          <w:rFonts w:ascii="Times New Roman" w:hAnsi="Times New Roman" w:eastAsia="黑体"/>
          <w:color w:val="000000"/>
          <w:sz w:val="20"/>
          <w:highlight w:val="none"/>
        </w:rPr>
      </w:pPr>
    </w:p>
    <w:p w14:paraId="2340ADCA">
      <w:pPr>
        <w:pStyle w:val="5"/>
        <w:shd w:val="clear"/>
        <w:spacing w:before="0" w:after="0" w:line="300" w:lineRule="auto"/>
        <w:jc w:val="center"/>
        <w:rPr>
          <w:rFonts w:hint="eastAsia" w:ascii="Times New Roman" w:hAnsi="Times New Roman"/>
          <w:color w:val="000000"/>
          <w:highlight w:val="none"/>
        </w:rPr>
      </w:pPr>
    </w:p>
    <w:p w14:paraId="019BB116">
      <w:pPr>
        <w:pStyle w:val="5"/>
        <w:shd w:val="clear"/>
        <w:spacing w:before="0" w:after="0" w:line="300" w:lineRule="auto"/>
        <w:jc w:val="center"/>
        <w:rPr>
          <w:rFonts w:hint="eastAsia" w:ascii="Times New Roman" w:hAnsi="Times New Roman"/>
          <w:color w:val="000000"/>
          <w:highlight w:val="none"/>
        </w:rPr>
      </w:pPr>
    </w:p>
    <w:p w14:paraId="55DD06DB">
      <w:pPr>
        <w:pStyle w:val="5"/>
        <w:shd w:val="clear"/>
        <w:spacing w:before="0" w:after="0" w:line="300" w:lineRule="auto"/>
        <w:jc w:val="center"/>
        <w:rPr>
          <w:rFonts w:hint="eastAsia" w:ascii="Times New Roman" w:hAnsi="Times New Roman"/>
          <w:color w:val="000000"/>
          <w:highlight w:val="none"/>
        </w:rPr>
      </w:pPr>
    </w:p>
    <w:p w14:paraId="27E24FC3">
      <w:pPr>
        <w:pStyle w:val="5"/>
        <w:shd w:val="clear"/>
        <w:spacing w:before="0" w:after="0" w:line="300" w:lineRule="auto"/>
        <w:jc w:val="center"/>
        <w:rPr>
          <w:rFonts w:hint="eastAsia" w:ascii="Times New Roman" w:hAnsi="Times New Roman"/>
          <w:color w:val="000000"/>
          <w:highlight w:val="none"/>
        </w:rPr>
      </w:pPr>
    </w:p>
    <w:p w14:paraId="4C56FAFD">
      <w:pPr>
        <w:shd w:val="clear"/>
        <w:rPr>
          <w:rFonts w:hint="eastAsia"/>
          <w:highlight w:val="none"/>
        </w:rPr>
      </w:pPr>
    </w:p>
    <w:p w14:paraId="06934E29">
      <w:pPr>
        <w:shd w:val="clear"/>
        <w:spacing w:line="300" w:lineRule="auto"/>
        <w:jc w:val="center"/>
        <w:rPr>
          <w:rFonts w:hint="eastAsia" w:ascii="Times New Roman" w:hAnsi="Times New Roman" w:eastAsia="黑体" w:cs="Times New Roman"/>
          <w:color w:val="000000"/>
          <w:sz w:val="32"/>
          <w:szCs w:val="32"/>
          <w:highlight w:val="none"/>
        </w:rPr>
      </w:pPr>
    </w:p>
    <w:p w14:paraId="01CA4AC8">
      <w:pPr>
        <w:shd w:val="clear"/>
        <w:spacing w:line="300" w:lineRule="auto"/>
        <w:jc w:val="center"/>
        <w:rPr>
          <w:rFonts w:hint="eastAsia" w:ascii="Times New Roman" w:hAnsi="Times New Roman" w:eastAsia="黑体" w:cs="Times New Roman"/>
          <w:color w:val="000000"/>
          <w:sz w:val="32"/>
          <w:szCs w:val="32"/>
          <w:highlight w:val="none"/>
        </w:rPr>
      </w:pPr>
    </w:p>
    <w:p w14:paraId="6685C18A">
      <w:pPr>
        <w:shd w:val="clear"/>
        <w:spacing w:line="300" w:lineRule="auto"/>
        <w:jc w:val="center"/>
        <w:rPr>
          <w:rFonts w:hint="eastAsia" w:ascii="Times New Roman" w:hAnsi="Times New Roman" w:eastAsia="黑体" w:cs="Times New Roman"/>
          <w:color w:val="000000"/>
          <w:sz w:val="32"/>
          <w:szCs w:val="32"/>
          <w:highlight w:val="none"/>
        </w:rPr>
      </w:pPr>
      <w:bookmarkStart w:id="178" w:name="_Toc20722_WPSOffice_Level1"/>
      <w:bookmarkStart w:id="179" w:name="_Toc22089_WPSOffice_Level1"/>
      <w:r>
        <w:rPr>
          <w:rFonts w:hint="eastAsia" w:ascii="Times New Roman" w:hAnsi="Times New Roman" w:eastAsia="黑体" w:cs="Times New Roman"/>
          <w:color w:val="000000"/>
          <w:sz w:val="32"/>
          <w:szCs w:val="32"/>
          <w:highlight w:val="none"/>
        </w:rPr>
        <w:t>4、投标保证金</w:t>
      </w:r>
      <w:bookmarkEnd w:id="178"/>
      <w:bookmarkEnd w:id="179"/>
    </w:p>
    <w:p w14:paraId="277F6B57">
      <w:pPr>
        <w:shd w:val="clear"/>
        <w:spacing w:line="560" w:lineRule="exact"/>
        <w:ind w:firstLine="480" w:firstLineChars="200"/>
        <w:rPr>
          <w:rFonts w:hint="eastAsia"/>
          <w:highlight w:val="none"/>
        </w:rPr>
      </w:pPr>
      <w:r>
        <w:rPr>
          <w:rFonts w:hint="eastAsia"/>
          <w:highlight w:val="none"/>
        </w:rPr>
        <w:t>若采用现金或支票，投标人应在此提供交款回单的复印件。</w:t>
      </w:r>
    </w:p>
    <w:p w14:paraId="579B5EE6">
      <w:pPr>
        <w:shd w:val="clear"/>
        <w:spacing w:line="300" w:lineRule="auto"/>
        <w:jc w:val="center"/>
        <w:rPr>
          <w:rFonts w:hint="eastAsia" w:ascii="Times New Roman" w:hAnsi="Times New Roman" w:eastAsia="黑体" w:cs="Times New Roman"/>
          <w:color w:val="000000"/>
          <w:sz w:val="32"/>
          <w:szCs w:val="32"/>
          <w:highlight w:val="none"/>
        </w:rPr>
      </w:pPr>
      <w:bookmarkStart w:id="180" w:name="_Toc508871757"/>
      <w:bookmarkStart w:id="181" w:name="_Toc391556617"/>
      <w:bookmarkStart w:id="182" w:name="_Toc20492_WPSOffice_Level1"/>
      <w:bookmarkStart w:id="183" w:name="_Toc27730_WPSOffice_Level1"/>
      <w:bookmarkStart w:id="184" w:name="_Toc506105877"/>
      <w:bookmarkStart w:id="185" w:name="_Toc352160852"/>
      <w:r>
        <w:rPr>
          <w:rFonts w:hint="eastAsia" w:ascii="Times New Roman" w:hAnsi="Times New Roman" w:eastAsia="黑体" w:cs="Times New Roman"/>
          <w:color w:val="000000"/>
          <w:sz w:val="32"/>
          <w:szCs w:val="32"/>
          <w:highlight w:val="none"/>
        </w:rPr>
        <w:t>5、资格审查资料</w:t>
      </w:r>
      <w:bookmarkEnd w:id="180"/>
      <w:bookmarkEnd w:id="181"/>
      <w:bookmarkEnd w:id="182"/>
      <w:bookmarkEnd w:id="183"/>
      <w:bookmarkEnd w:id="184"/>
      <w:bookmarkEnd w:id="185"/>
    </w:p>
    <w:p w14:paraId="29E6EDE4">
      <w:pPr>
        <w:shd w:val="clear"/>
        <w:spacing w:line="360" w:lineRule="auto"/>
        <w:rPr>
          <w:rFonts w:cs="仿宋"/>
          <w:bCs/>
          <w:highlight w:val="none"/>
        </w:rPr>
      </w:pPr>
      <w:bookmarkStart w:id="186" w:name="_Toc337496474"/>
      <w:r>
        <w:rPr>
          <w:rFonts w:hint="eastAsia" w:cs="仿宋"/>
          <w:bCs/>
          <w:highlight w:val="none"/>
        </w:rPr>
        <w:t>5.1</w:t>
      </w:r>
      <w:bookmarkEnd w:id="186"/>
      <w:r>
        <w:rPr>
          <w:rFonts w:hint="eastAsia" w:cs="仿宋"/>
          <w:bCs/>
          <w:highlight w:val="none"/>
        </w:rPr>
        <w:t>投标人基本情况及证书复印件</w:t>
      </w:r>
    </w:p>
    <w:p w14:paraId="5C9FDCAC">
      <w:pPr>
        <w:shd w:val="clear"/>
        <w:spacing w:line="360" w:lineRule="auto"/>
        <w:jc w:val="center"/>
        <w:rPr>
          <w:rFonts w:cs="仿宋"/>
          <w:highlight w:val="none"/>
        </w:rPr>
      </w:pPr>
      <w:r>
        <w:rPr>
          <w:rFonts w:hint="eastAsia" w:cs="仿宋"/>
          <w:b/>
          <w:highlight w:val="none"/>
        </w:rPr>
        <w:t>基本情况</w:t>
      </w:r>
    </w:p>
    <w:tbl>
      <w:tblPr>
        <w:tblStyle w:val="4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709"/>
        <w:gridCol w:w="388"/>
        <w:gridCol w:w="333"/>
        <w:gridCol w:w="399"/>
        <w:gridCol w:w="94"/>
        <w:gridCol w:w="829"/>
        <w:gridCol w:w="1147"/>
        <w:gridCol w:w="198"/>
        <w:gridCol w:w="652"/>
        <w:gridCol w:w="1490"/>
      </w:tblGrid>
      <w:tr w14:paraId="7436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D39463">
            <w:pPr>
              <w:shd w:val="clear"/>
              <w:topLinePunct/>
              <w:spacing w:line="360" w:lineRule="auto"/>
              <w:jc w:val="center"/>
              <w:rPr>
                <w:rFonts w:cs="仿宋"/>
                <w:highlight w:val="none"/>
              </w:rPr>
            </w:pPr>
            <w:r>
              <w:rPr>
                <w:rFonts w:hint="eastAsia" w:cs="仿宋"/>
                <w:highlight w:val="none"/>
              </w:rPr>
              <w:t>投标人名称</w:t>
            </w:r>
          </w:p>
        </w:tc>
        <w:tc>
          <w:tcPr>
            <w:tcW w:w="7656" w:type="dxa"/>
            <w:gridSpan w:val="11"/>
            <w:tcBorders>
              <w:top w:val="single" w:color="000000" w:sz="4" w:space="0"/>
              <w:left w:val="single" w:color="000000" w:sz="4" w:space="0"/>
              <w:bottom w:val="single" w:color="000000" w:sz="4" w:space="0"/>
              <w:right w:val="single" w:color="000000" w:sz="4" w:space="0"/>
            </w:tcBorders>
            <w:noWrap w:val="0"/>
            <w:vAlign w:val="center"/>
          </w:tcPr>
          <w:p w14:paraId="2C329C4D">
            <w:pPr>
              <w:shd w:val="clear"/>
              <w:topLinePunct/>
              <w:spacing w:line="360" w:lineRule="auto"/>
              <w:jc w:val="center"/>
              <w:rPr>
                <w:rFonts w:cs="仿宋"/>
                <w:highlight w:val="none"/>
              </w:rPr>
            </w:pPr>
          </w:p>
        </w:tc>
      </w:tr>
      <w:tr w14:paraId="6C4A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1A360F6">
            <w:pPr>
              <w:shd w:val="clear"/>
              <w:topLinePunct/>
              <w:spacing w:line="360" w:lineRule="auto"/>
              <w:ind w:left="-120" w:leftChars="-50" w:right="-120" w:rightChars="-50"/>
              <w:jc w:val="center"/>
              <w:rPr>
                <w:rFonts w:cs="仿宋"/>
                <w:highlight w:val="none"/>
              </w:rPr>
            </w:pPr>
            <w:r>
              <w:rPr>
                <w:rFonts w:hint="eastAsia" w:cs="仿宋"/>
                <w:highlight w:val="none"/>
              </w:rPr>
              <w:t>制造商</w:t>
            </w:r>
          </w:p>
        </w:tc>
        <w:tc>
          <w:tcPr>
            <w:tcW w:w="2847" w:type="dxa"/>
            <w:gridSpan w:val="4"/>
            <w:tcBorders>
              <w:top w:val="single" w:color="000000" w:sz="4" w:space="0"/>
              <w:left w:val="single" w:color="000000" w:sz="4" w:space="0"/>
              <w:bottom w:val="single" w:color="000000" w:sz="4" w:space="0"/>
              <w:right w:val="single" w:color="000000" w:sz="4" w:space="0"/>
            </w:tcBorders>
            <w:noWrap w:val="0"/>
            <w:vAlign w:val="center"/>
          </w:tcPr>
          <w:p w14:paraId="59906802">
            <w:pPr>
              <w:shd w:val="clear"/>
              <w:topLinePunct/>
              <w:spacing w:line="360" w:lineRule="auto"/>
              <w:jc w:val="center"/>
              <w:rPr>
                <w:rFonts w:cs="仿宋"/>
                <w:b/>
                <w:bCs/>
                <w:kern w:val="44"/>
                <w:sz w:val="32"/>
                <w:highlight w:val="none"/>
              </w:rPr>
            </w:pPr>
          </w:p>
        </w:tc>
        <w:tc>
          <w:tcPr>
            <w:tcW w:w="1322" w:type="dxa"/>
            <w:gridSpan w:val="3"/>
            <w:tcBorders>
              <w:top w:val="single" w:color="000000" w:sz="4" w:space="0"/>
              <w:left w:val="single" w:color="000000" w:sz="4" w:space="0"/>
              <w:bottom w:val="single" w:color="000000" w:sz="4" w:space="0"/>
              <w:right w:val="single" w:color="000000" w:sz="4" w:space="0"/>
            </w:tcBorders>
            <w:noWrap w:val="0"/>
            <w:vAlign w:val="center"/>
          </w:tcPr>
          <w:p w14:paraId="44A35ECB">
            <w:pPr>
              <w:shd w:val="clear"/>
              <w:topLinePunct/>
              <w:spacing w:line="360" w:lineRule="auto"/>
              <w:jc w:val="center"/>
              <w:rPr>
                <w:rFonts w:cs="仿宋"/>
                <w:highlight w:val="none"/>
              </w:rPr>
            </w:pPr>
            <w:r>
              <w:rPr>
                <w:rFonts w:hint="eastAsia" w:cs="仿宋"/>
                <w:highlight w:val="none"/>
              </w:rPr>
              <w:t>所属集团</w:t>
            </w:r>
          </w:p>
        </w:tc>
        <w:tc>
          <w:tcPr>
            <w:tcW w:w="3487" w:type="dxa"/>
            <w:gridSpan w:val="4"/>
            <w:tcBorders>
              <w:top w:val="single" w:color="000000" w:sz="4" w:space="0"/>
              <w:left w:val="single" w:color="000000" w:sz="4" w:space="0"/>
              <w:bottom w:val="single" w:color="000000" w:sz="4" w:space="0"/>
              <w:right w:val="single" w:color="000000" w:sz="4" w:space="0"/>
            </w:tcBorders>
            <w:noWrap w:val="0"/>
            <w:vAlign w:val="center"/>
          </w:tcPr>
          <w:p w14:paraId="47B37B03">
            <w:pPr>
              <w:shd w:val="clear"/>
              <w:topLinePunct/>
              <w:spacing w:line="360" w:lineRule="auto"/>
              <w:jc w:val="center"/>
              <w:rPr>
                <w:rFonts w:cs="仿宋"/>
                <w:highlight w:val="none"/>
              </w:rPr>
            </w:pPr>
          </w:p>
        </w:tc>
      </w:tr>
      <w:tr w14:paraId="3C41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0EDDD7">
            <w:pPr>
              <w:shd w:val="clear"/>
              <w:topLinePunct/>
              <w:spacing w:line="360" w:lineRule="auto"/>
              <w:jc w:val="center"/>
              <w:rPr>
                <w:rFonts w:cs="仿宋"/>
                <w:highlight w:val="none"/>
              </w:rPr>
            </w:pPr>
            <w:r>
              <w:rPr>
                <w:rFonts w:hint="eastAsia" w:cs="仿宋"/>
                <w:highlight w:val="none"/>
              </w:rPr>
              <w:t>注册地址</w:t>
            </w:r>
          </w:p>
        </w:tc>
        <w:tc>
          <w:tcPr>
            <w:tcW w:w="4169" w:type="dxa"/>
            <w:gridSpan w:val="7"/>
            <w:tcBorders>
              <w:top w:val="single" w:color="000000" w:sz="4" w:space="0"/>
              <w:left w:val="single" w:color="000000" w:sz="4" w:space="0"/>
              <w:bottom w:val="single" w:color="000000" w:sz="4" w:space="0"/>
              <w:right w:val="single" w:color="000000" w:sz="4" w:space="0"/>
            </w:tcBorders>
            <w:noWrap w:val="0"/>
            <w:vAlign w:val="center"/>
          </w:tcPr>
          <w:p w14:paraId="7D8D3EA0">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784B6BB4">
            <w:pPr>
              <w:shd w:val="clear"/>
              <w:topLinePunct/>
              <w:spacing w:line="360" w:lineRule="auto"/>
              <w:ind w:left="-120" w:leftChars="-50" w:right="-120" w:rightChars="-50"/>
              <w:jc w:val="center"/>
              <w:rPr>
                <w:rFonts w:cs="仿宋"/>
                <w:highlight w:val="none"/>
              </w:rPr>
            </w:pPr>
            <w:r>
              <w:rPr>
                <w:rFonts w:hint="eastAsia" w:cs="仿宋"/>
                <w:highlight w:val="none"/>
              </w:rPr>
              <w:t>邮政编码</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7FD45F72">
            <w:pPr>
              <w:shd w:val="clear"/>
              <w:topLinePunct/>
              <w:spacing w:line="360" w:lineRule="auto"/>
              <w:jc w:val="center"/>
              <w:rPr>
                <w:rFonts w:cs="仿宋"/>
                <w:highlight w:val="none"/>
              </w:rPr>
            </w:pPr>
          </w:p>
        </w:tc>
      </w:tr>
      <w:tr w14:paraId="3F88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6E41A27">
            <w:pPr>
              <w:shd w:val="clear"/>
              <w:topLinePunct/>
              <w:adjustRightInd w:val="0"/>
              <w:snapToGrid w:val="0"/>
              <w:spacing w:line="360" w:lineRule="auto"/>
              <w:jc w:val="center"/>
              <w:rPr>
                <w:rFonts w:cs="仿宋"/>
                <w:highlight w:val="none"/>
              </w:rPr>
            </w:pPr>
            <w:r>
              <w:rPr>
                <w:rFonts w:hint="eastAsia" w:cs="仿宋"/>
                <w:highlight w:val="none"/>
              </w:rPr>
              <w:t>成立或</w:t>
            </w:r>
          </w:p>
          <w:p w14:paraId="081B0323">
            <w:pPr>
              <w:shd w:val="clear"/>
              <w:topLinePunct/>
              <w:adjustRightInd w:val="0"/>
              <w:snapToGrid w:val="0"/>
              <w:spacing w:line="360" w:lineRule="auto"/>
              <w:jc w:val="center"/>
              <w:rPr>
                <w:rFonts w:cs="仿宋"/>
                <w:highlight w:val="none"/>
              </w:rPr>
            </w:pPr>
            <w:r>
              <w:rPr>
                <w:rFonts w:hint="eastAsia" w:cs="仿宋"/>
                <w:highlight w:val="none"/>
              </w:rPr>
              <w:t>注册时间</w:t>
            </w:r>
          </w:p>
        </w:tc>
        <w:tc>
          <w:tcPr>
            <w:tcW w:w="4169" w:type="dxa"/>
            <w:gridSpan w:val="7"/>
            <w:tcBorders>
              <w:top w:val="single" w:color="000000" w:sz="4" w:space="0"/>
              <w:left w:val="single" w:color="000000" w:sz="4" w:space="0"/>
              <w:bottom w:val="single" w:color="000000" w:sz="4" w:space="0"/>
              <w:right w:val="single" w:color="000000" w:sz="4" w:space="0"/>
            </w:tcBorders>
            <w:noWrap w:val="0"/>
            <w:vAlign w:val="center"/>
          </w:tcPr>
          <w:p w14:paraId="34134688">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4A30A90">
            <w:pPr>
              <w:shd w:val="clear"/>
              <w:topLinePunct/>
              <w:spacing w:line="360" w:lineRule="auto"/>
              <w:ind w:left="-120" w:leftChars="-50" w:right="-120" w:rightChars="-50"/>
              <w:jc w:val="center"/>
              <w:rPr>
                <w:rFonts w:cs="仿宋"/>
                <w:highlight w:val="none"/>
              </w:rPr>
            </w:pPr>
            <w:r>
              <w:rPr>
                <w:rFonts w:hint="eastAsia" w:cs="仿宋"/>
                <w:highlight w:val="none"/>
              </w:rPr>
              <w:t>注册资金</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6FCBC08F">
            <w:pPr>
              <w:shd w:val="clear"/>
              <w:topLinePunct/>
              <w:spacing w:line="360" w:lineRule="auto"/>
              <w:jc w:val="center"/>
              <w:rPr>
                <w:rFonts w:cs="仿宋"/>
                <w:highlight w:val="none"/>
              </w:rPr>
            </w:pPr>
          </w:p>
        </w:tc>
      </w:tr>
      <w:tr w14:paraId="04D7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8833B5D">
            <w:pPr>
              <w:shd w:val="clear"/>
              <w:topLinePunct/>
              <w:spacing w:line="360" w:lineRule="auto"/>
              <w:jc w:val="center"/>
              <w:rPr>
                <w:rFonts w:cs="仿宋"/>
                <w:highlight w:val="none"/>
              </w:rPr>
            </w:pPr>
            <w:r>
              <w:rPr>
                <w:rFonts w:hint="eastAsia" w:cs="仿宋"/>
                <w:highlight w:val="none"/>
              </w:rPr>
              <w:t>主要负责人</w:t>
            </w:r>
          </w:p>
        </w:tc>
        <w:tc>
          <w:tcPr>
            <w:tcW w:w="4169" w:type="dxa"/>
            <w:gridSpan w:val="7"/>
            <w:tcBorders>
              <w:top w:val="single" w:color="000000" w:sz="4" w:space="0"/>
              <w:left w:val="single" w:color="000000" w:sz="4" w:space="0"/>
              <w:bottom w:val="single" w:color="000000" w:sz="4" w:space="0"/>
              <w:right w:val="single" w:color="000000" w:sz="4" w:space="0"/>
            </w:tcBorders>
            <w:noWrap w:val="0"/>
            <w:vAlign w:val="center"/>
          </w:tcPr>
          <w:p w14:paraId="1A12271B">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35C446CB">
            <w:pPr>
              <w:shd w:val="clear"/>
              <w:topLinePunct/>
              <w:spacing w:line="360" w:lineRule="auto"/>
              <w:ind w:left="-120" w:leftChars="-50" w:right="-120" w:rightChars="-50"/>
              <w:jc w:val="center"/>
              <w:rPr>
                <w:rFonts w:cs="仿宋"/>
                <w:highlight w:val="none"/>
              </w:rPr>
            </w:pPr>
            <w:r>
              <w:rPr>
                <w:rFonts w:hint="eastAsia" w:cs="仿宋"/>
                <w:highlight w:val="none"/>
              </w:rPr>
              <w:t>电话</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07B4AA08">
            <w:pPr>
              <w:shd w:val="clear"/>
              <w:topLinePunct/>
              <w:spacing w:line="360" w:lineRule="auto"/>
              <w:jc w:val="center"/>
              <w:rPr>
                <w:rFonts w:cs="仿宋"/>
                <w:highlight w:val="none"/>
              </w:rPr>
            </w:pPr>
          </w:p>
        </w:tc>
      </w:tr>
      <w:tr w14:paraId="06D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ECB42F">
            <w:pPr>
              <w:shd w:val="clear"/>
              <w:topLinePunct/>
              <w:spacing w:line="360" w:lineRule="auto"/>
              <w:jc w:val="center"/>
              <w:rPr>
                <w:rFonts w:cs="仿宋"/>
                <w:highlight w:val="none"/>
              </w:rPr>
            </w:pPr>
            <w:r>
              <w:rPr>
                <w:rFonts w:hint="eastAsia" w:cs="仿宋"/>
                <w:highlight w:val="none"/>
              </w:rPr>
              <w:t>联系方式</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1E12E78">
            <w:pPr>
              <w:shd w:val="clear"/>
              <w:topLinePunct/>
              <w:spacing w:line="360" w:lineRule="auto"/>
              <w:jc w:val="center"/>
              <w:rPr>
                <w:rFonts w:cs="仿宋"/>
                <w:highlight w:val="none"/>
              </w:rPr>
            </w:pPr>
            <w:r>
              <w:rPr>
                <w:rFonts w:hint="eastAsia" w:cs="仿宋"/>
                <w:highlight w:val="none"/>
              </w:rPr>
              <w:t>联系人</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14007C8A">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2B9F529">
            <w:pPr>
              <w:shd w:val="clear"/>
              <w:topLinePunct/>
              <w:spacing w:line="360" w:lineRule="auto"/>
              <w:ind w:left="-120" w:leftChars="-50" w:right="-120" w:rightChars="-50"/>
              <w:jc w:val="center"/>
              <w:rPr>
                <w:rFonts w:cs="仿宋"/>
                <w:highlight w:val="none"/>
              </w:rPr>
            </w:pPr>
            <w:r>
              <w:rPr>
                <w:rFonts w:hint="eastAsia" w:cs="仿宋"/>
                <w:highlight w:val="none"/>
              </w:rPr>
              <w:t>电话</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22CCAB19">
            <w:pPr>
              <w:shd w:val="clear"/>
              <w:topLinePunct/>
              <w:spacing w:line="360" w:lineRule="auto"/>
              <w:jc w:val="center"/>
              <w:rPr>
                <w:rFonts w:cs="仿宋"/>
                <w:highlight w:val="none"/>
              </w:rPr>
            </w:pPr>
          </w:p>
        </w:tc>
      </w:tr>
      <w:tr w14:paraId="6312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4D7E">
            <w:pPr>
              <w:shd w:val="clear"/>
              <w:spacing w:line="360" w:lineRule="auto"/>
              <w:rPr>
                <w:rFonts w:cs="仿宋"/>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3CE610D">
            <w:pPr>
              <w:shd w:val="clear"/>
              <w:topLinePunct/>
              <w:spacing w:line="360" w:lineRule="auto"/>
              <w:jc w:val="center"/>
              <w:rPr>
                <w:rFonts w:cs="仿宋"/>
                <w:highlight w:val="none"/>
              </w:rPr>
            </w:pPr>
            <w:r>
              <w:rPr>
                <w:rFonts w:hint="eastAsia" w:cs="仿宋"/>
                <w:highlight w:val="none"/>
              </w:rPr>
              <w:t>传  真</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704748E4">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56916ED3">
            <w:pPr>
              <w:shd w:val="clear"/>
              <w:topLinePunct/>
              <w:spacing w:line="360" w:lineRule="auto"/>
              <w:ind w:left="-120" w:leftChars="-50" w:right="-120" w:rightChars="-50"/>
              <w:jc w:val="center"/>
              <w:rPr>
                <w:rFonts w:cs="仿宋"/>
                <w:highlight w:val="none"/>
              </w:rPr>
            </w:pPr>
            <w:r>
              <w:rPr>
                <w:rFonts w:hint="eastAsia" w:cs="仿宋"/>
                <w:highlight w:val="none"/>
              </w:rPr>
              <w:t>电子邮箱</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125ED7F8">
            <w:pPr>
              <w:shd w:val="clear"/>
              <w:topLinePunct/>
              <w:spacing w:line="360" w:lineRule="auto"/>
              <w:jc w:val="center"/>
              <w:rPr>
                <w:rFonts w:cs="仿宋"/>
                <w:highlight w:val="none"/>
              </w:rPr>
            </w:pPr>
          </w:p>
        </w:tc>
      </w:tr>
      <w:tr w14:paraId="655B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6788F">
            <w:pPr>
              <w:shd w:val="clear"/>
              <w:topLinePunct/>
              <w:spacing w:line="360" w:lineRule="auto"/>
              <w:jc w:val="center"/>
              <w:rPr>
                <w:rFonts w:cs="仿宋"/>
                <w:highlight w:val="none"/>
              </w:rPr>
            </w:pPr>
            <w:r>
              <w:rPr>
                <w:rFonts w:hint="eastAsia" w:cs="仿宋"/>
                <w:highlight w:val="none"/>
              </w:rPr>
              <w:t>制造企业</w:t>
            </w:r>
          </w:p>
          <w:p w14:paraId="1D1EA8B6">
            <w:pPr>
              <w:shd w:val="clear"/>
              <w:topLinePunct/>
              <w:spacing w:line="360" w:lineRule="auto"/>
              <w:jc w:val="center"/>
              <w:rPr>
                <w:rFonts w:cs="仿宋"/>
                <w:highlight w:val="none"/>
              </w:rPr>
            </w:pPr>
            <w:r>
              <w:rPr>
                <w:rFonts w:hint="eastAsia" w:cs="仿宋"/>
                <w:highlight w:val="none"/>
              </w:rPr>
              <w:t>基本情况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A49B008">
            <w:pPr>
              <w:shd w:val="clear"/>
              <w:topLinePunct/>
              <w:spacing w:line="360" w:lineRule="auto"/>
              <w:ind w:left="-120" w:leftChars="-50" w:right="-120" w:rightChars="-50"/>
              <w:jc w:val="center"/>
              <w:rPr>
                <w:rFonts w:cs="仿宋"/>
                <w:highlight w:val="none"/>
              </w:rPr>
            </w:pPr>
            <w:r>
              <w:rPr>
                <w:rFonts w:hint="eastAsia" w:cs="仿宋"/>
                <w:highlight w:val="none"/>
              </w:rPr>
              <w:t>名称</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01C19CD8">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0D5DAC8E">
            <w:pPr>
              <w:shd w:val="clear"/>
              <w:topLinePunct/>
              <w:spacing w:line="360" w:lineRule="auto"/>
              <w:ind w:left="-120" w:leftChars="-50" w:right="-120" w:rightChars="-50"/>
              <w:jc w:val="center"/>
              <w:rPr>
                <w:rFonts w:cs="仿宋"/>
                <w:highlight w:val="none"/>
              </w:rPr>
            </w:pPr>
            <w:r>
              <w:rPr>
                <w:rFonts w:hint="eastAsia" w:cs="仿宋"/>
                <w:highlight w:val="none"/>
              </w:rPr>
              <w:t>地址</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60D0B3E5">
            <w:pPr>
              <w:shd w:val="clear"/>
              <w:topLinePunct/>
              <w:spacing w:line="360" w:lineRule="auto"/>
              <w:jc w:val="center"/>
              <w:rPr>
                <w:rFonts w:cs="仿宋"/>
                <w:highlight w:val="none"/>
              </w:rPr>
            </w:pPr>
          </w:p>
        </w:tc>
      </w:tr>
      <w:tr w14:paraId="7F96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2BCF2">
            <w:pPr>
              <w:shd w:val="clear"/>
              <w:spacing w:line="360" w:lineRule="auto"/>
              <w:rPr>
                <w:rFonts w:cs="仿宋"/>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9BF718C">
            <w:pPr>
              <w:shd w:val="clear"/>
              <w:topLinePunct/>
              <w:adjustRightInd w:val="0"/>
              <w:snapToGrid w:val="0"/>
              <w:spacing w:line="360" w:lineRule="auto"/>
              <w:jc w:val="center"/>
              <w:rPr>
                <w:rFonts w:cs="仿宋"/>
                <w:highlight w:val="none"/>
              </w:rPr>
            </w:pPr>
            <w:r>
              <w:rPr>
                <w:rFonts w:hint="eastAsia" w:cs="仿宋"/>
                <w:highlight w:val="none"/>
              </w:rPr>
              <w:t>年生产能力</w:t>
            </w:r>
          </w:p>
        </w:tc>
        <w:tc>
          <w:tcPr>
            <w:tcW w:w="2752" w:type="dxa"/>
            <w:gridSpan w:val="6"/>
            <w:tcBorders>
              <w:top w:val="single" w:color="000000" w:sz="4" w:space="0"/>
              <w:left w:val="single" w:color="000000" w:sz="4" w:space="0"/>
              <w:bottom w:val="single" w:color="000000" w:sz="4" w:space="0"/>
              <w:right w:val="single" w:color="000000" w:sz="4" w:space="0"/>
            </w:tcBorders>
            <w:noWrap w:val="0"/>
            <w:vAlign w:val="center"/>
          </w:tcPr>
          <w:p w14:paraId="5C70F917">
            <w:pPr>
              <w:shd w:val="clear"/>
              <w:topLinePunct/>
              <w:spacing w:line="360" w:lineRule="auto"/>
              <w:jc w:val="center"/>
              <w:rPr>
                <w:rFonts w:cs="仿宋"/>
                <w:highlight w:val="none"/>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1D31C0F">
            <w:pPr>
              <w:shd w:val="clear"/>
              <w:topLinePunct/>
              <w:spacing w:line="360" w:lineRule="auto"/>
              <w:ind w:left="-120" w:leftChars="-50" w:right="-120" w:rightChars="-50"/>
              <w:jc w:val="center"/>
              <w:rPr>
                <w:rFonts w:cs="仿宋"/>
                <w:highlight w:val="none"/>
              </w:rPr>
            </w:pPr>
            <w:r>
              <w:rPr>
                <w:rFonts w:hint="eastAsia" w:cs="仿宋"/>
                <w:highlight w:val="none"/>
              </w:rPr>
              <w:t>职工人数</w:t>
            </w:r>
          </w:p>
        </w:tc>
        <w:tc>
          <w:tcPr>
            <w:tcW w:w="2340" w:type="dxa"/>
            <w:gridSpan w:val="3"/>
            <w:tcBorders>
              <w:top w:val="single" w:color="000000" w:sz="4" w:space="0"/>
              <w:left w:val="single" w:color="000000" w:sz="4" w:space="0"/>
              <w:bottom w:val="single" w:color="000000" w:sz="4" w:space="0"/>
              <w:right w:val="single" w:color="000000" w:sz="4" w:space="0"/>
            </w:tcBorders>
            <w:noWrap w:val="0"/>
            <w:vAlign w:val="center"/>
          </w:tcPr>
          <w:p w14:paraId="5248372B">
            <w:pPr>
              <w:shd w:val="clear"/>
              <w:topLinePunct/>
              <w:spacing w:line="360" w:lineRule="auto"/>
              <w:jc w:val="center"/>
              <w:rPr>
                <w:rFonts w:cs="仿宋"/>
                <w:highlight w:val="none"/>
              </w:rPr>
            </w:pPr>
          </w:p>
        </w:tc>
      </w:tr>
      <w:tr w14:paraId="6285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C9437">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BD9CC">
            <w:pPr>
              <w:shd w:val="clear"/>
              <w:topLinePunct/>
              <w:spacing w:line="360" w:lineRule="auto"/>
              <w:jc w:val="center"/>
              <w:rPr>
                <w:rFonts w:cs="仿宋"/>
                <w:highlight w:val="none"/>
              </w:rPr>
            </w:pPr>
            <w:r>
              <w:rPr>
                <w:rFonts w:hint="eastAsia" w:cs="仿宋"/>
                <w:highlight w:val="none"/>
              </w:rPr>
              <w:t>需外购的</w:t>
            </w:r>
          </w:p>
          <w:p w14:paraId="4EE974BE">
            <w:pPr>
              <w:shd w:val="clear"/>
              <w:topLinePunct/>
              <w:spacing w:line="360" w:lineRule="auto"/>
              <w:ind w:left="-122" w:leftChars="-51" w:right="-146" w:rightChars="-61"/>
              <w:jc w:val="center"/>
              <w:rPr>
                <w:rFonts w:cs="仿宋"/>
                <w:highlight w:val="none"/>
              </w:rPr>
            </w:pPr>
            <w:r>
              <w:rPr>
                <w:rFonts w:hint="eastAsia" w:cs="仿宋"/>
                <w:highlight w:val="none"/>
              </w:rPr>
              <w:t>主要零部件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927E9BD">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19803528">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12A7CEB4">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016A9BD9">
            <w:pPr>
              <w:shd w:val="clear"/>
              <w:topLinePunct/>
              <w:spacing w:line="360" w:lineRule="auto"/>
              <w:jc w:val="center"/>
              <w:rPr>
                <w:rFonts w:cs="仿宋"/>
                <w:highlight w:val="none"/>
              </w:rPr>
            </w:pPr>
          </w:p>
        </w:tc>
      </w:tr>
      <w:tr w14:paraId="64D1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169E2">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0BBE3">
            <w:pPr>
              <w:shd w:val="clear"/>
              <w:spacing w:line="360" w:lineRule="auto"/>
              <w:rPr>
                <w:rFonts w:cs="仿宋"/>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E3D91C">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78BA1175">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68CC514C">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29A9C441">
            <w:pPr>
              <w:shd w:val="clear"/>
              <w:topLinePunct/>
              <w:spacing w:line="360" w:lineRule="auto"/>
              <w:jc w:val="center"/>
              <w:rPr>
                <w:rFonts w:cs="仿宋"/>
                <w:highlight w:val="none"/>
              </w:rPr>
            </w:pPr>
          </w:p>
        </w:tc>
      </w:tr>
      <w:tr w14:paraId="4BBB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803D0">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4E1DB">
            <w:pPr>
              <w:shd w:val="clear"/>
              <w:topLinePunct/>
              <w:spacing w:line="360" w:lineRule="auto"/>
              <w:jc w:val="center"/>
              <w:rPr>
                <w:rFonts w:cs="仿宋"/>
                <w:highlight w:val="none"/>
              </w:rPr>
            </w:pPr>
            <w:r>
              <w:rPr>
                <w:rFonts w:hint="eastAsia" w:cs="仿宋"/>
                <w:highlight w:val="none"/>
              </w:rPr>
              <w:t>需外购的</w:t>
            </w:r>
          </w:p>
          <w:p w14:paraId="2FB389A5">
            <w:pPr>
              <w:shd w:val="clear"/>
              <w:topLinePunct/>
              <w:spacing w:line="360" w:lineRule="auto"/>
              <w:jc w:val="center"/>
              <w:rPr>
                <w:rFonts w:cs="仿宋"/>
                <w:highlight w:val="none"/>
              </w:rPr>
            </w:pPr>
            <w:r>
              <w:rPr>
                <w:rFonts w:hint="eastAsia" w:cs="仿宋"/>
                <w:highlight w:val="none"/>
              </w:rPr>
              <w:t>易损件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45F6A6">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7EE12474">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1462094E">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5DFCD24E">
            <w:pPr>
              <w:shd w:val="clear"/>
              <w:topLinePunct/>
              <w:spacing w:line="360" w:lineRule="auto"/>
              <w:jc w:val="center"/>
              <w:rPr>
                <w:rFonts w:cs="仿宋"/>
                <w:highlight w:val="none"/>
              </w:rPr>
            </w:pPr>
          </w:p>
        </w:tc>
      </w:tr>
      <w:tr w14:paraId="1244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29133">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6A29F">
            <w:pPr>
              <w:shd w:val="clear"/>
              <w:spacing w:line="360" w:lineRule="auto"/>
              <w:rPr>
                <w:rFonts w:cs="仿宋"/>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94B3ED2">
            <w:pPr>
              <w:shd w:val="clear"/>
              <w:topLinePunct/>
              <w:spacing w:line="360" w:lineRule="auto"/>
              <w:jc w:val="center"/>
              <w:rPr>
                <w:rFonts w:cs="仿宋"/>
                <w:highlight w:val="none"/>
              </w:rPr>
            </w:pPr>
            <w:r>
              <w:rPr>
                <w:rFonts w:hint="eastAsia" w:cs="仿宋"/>
                <w:highlight w:val="none"/>
              </w:rPr>
              <w:t>名称</w:t>
            </w:r>
          </w:p>
        </w:tc>
        <w:tc>
          <w:tcPr>
            <w:tcW w:w="1214" w:type="dxa"/>
            <w:gridSpan w:val="4"/>
            <w:tcBorders>
              <w:top w:val="single" w:color="000000" w:sz="4" w:space="0"/>
              <w:left w:val="single" w:color="000000" w:sz="4" w:space="0"/>
              <w:bottom w:val="single" w:color="000000" w:sz="4" w:space="0"/>
              <w:right w:val="single" w:color="000000" w:sz="4" w:space="0"/>
            </w:tcBorders>
            <w:noWrap w:val="0"/>
            <w:vAlign w:val="center"/>
          </w:tcPr>
          <w:p w14:paraId="55DCAEA5">
            <w:pPr>
              <w:shd w:val="clear"/>
              <w:topLinePunct/>
              <w:spacing w:line="360" w:lineRule="auto"/>
              <w:jc w:val="center"/>
              <w:rPr>
                <w:rFonts w:cs="仿宋"/>
                <w:highlight w:val="none"/>
              </w:rPr>
            </w:pPr>
          </w:p>
        </w:tc>
        <w:tc>
          <w:tcPr>
            <w:tcW w:w="2174" w:type="dxa"/>
            <w:gridSpan w:val="3"/>
            <w:tcBorders>
              <w:top w:val="single" w:color="000000" w:sz="4" w:space="0"/>
              <w:left w:val="single" w:color="000000" w:sz="4" w:space="0"/>
              <w:bottom w:val="single" w:color="000000" w:sz="4" w:space="0"/>
              <w:right w:val="single" w:color="000000" w:sz="4" w:space="0"/>
            </w:tcBorders>
            <w:noWrap w:val="0"/>
            <w:vAlign w:val="center"/>
          </w:tcPr>
          <w:p w14:paraId="6F7E5823">
            <w:pPr>
              <w:shd w:val="clear"/>
              <w:topLinePunct/>
              <w:spacing w:line="360" w:lineRule="auto"/>
              <w:jc w:val="center"/>
              <w:rPr>
                <w:rFonts w:cs="仿宋"/>
                <w:highlight w:val="none"/>
              </w:rPr>
            </w:pPr>
            <w:r>
              <w:rPr>
                <w:rFonts w:hint="eastAsia" w:cs="仿宋"/>
                <w:highlight w:val="none"/>
              </w:rPr>
              <w:t>生产厂家及地址</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642B5474">
            <w:pPr>
              <w:shd w:val="clear"/>
              <w:topLinePunct/>
              <w:spacing w:line="360" w:lineRule="auto"/>
              <w:jc w:val="center"/>
              <w:rPr>
                <w:rFonts w:cs="仿宋"/>
                <w:highlight w:val="none"/>
              </w:rPr>
            </w:pPr>
          </w:p>
        </w:tc>
      </w:tr>
      <w:tr w14:paraId="2F4E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01975">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1EEC0">
            <w:pPr>
              <w:shd w:val="clear"/>
              <w:topLinePunct/>
              <w:spacing w:line="360" w:lineRule="auto"/>
              <w:jc w:val="center"/>
              <w:rPr>
                <w:rFonts w:cs="仿宋"/>
                <w:highlight w:val="none"/>
              </w:rPr>
            </w:pPr>
            <w:r>
              <w:rPr>
                <w:rFonts w:hint="eastAsia" w:cs="仿宋"/>
                <w:highlight w:val="none"/>
              </w:rPr>
              <w:t>近3年</w:t>
            </w:r>
          </w:p>
          <w:p w14:paraId="475BD3D8">
            <w:pPr>
              <w:shd w:val="clear"/>
              <w:topLinePunct/>
              <w:spacing w:line="360" w:lineRule="auto"/>
              <w:jc w:val="center"/>
              <w:rPr>
                <w:rFonts w:cs="仿宋"/>
                <w:highlight w:val="none"/>
              </w:rPr>
            </w:pPr>
            <w:r>
              <w:rPr>
                <w:rFonts w:hint="eastAsia" w:cs="仿宋"/>
                <w:highlight w:val="none"/>
              </w:rPr>
              <w:t>营业额</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7E91264A">
            <w:pPr>
              <w:shd w:val="clear"/>
              <w:topLinePunct/>
              <w:spacing w:line="360" w:lineRule="auto"/>
              <w:jc w:val="center"/>
              <w:rPr>
                <w:rFonts w:cs="仿宋"/>
                <w:highlight w:val="none"/>
              </w:rPr>
            </w:pPr>
            <w:r>
              <w:rPr>
                <w:rFonts w:hint="eastAsia" w:cs="仿宋"/>
                <w:highlight w:val="none"/>
              </w:rPr>
              <w:t>年份</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161A5038">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5012CAEC">
            <w:pPr>
              <w:shd w:val="clear"/>
              <w:topLinePunct/>
              <w:spacing w:line="360" w:lineRule="auto"/>
              <w:jc w:val="center"/>
              <w:rPr>
                <w:rFonts w:cs="仿宋"/>
                <w:highlight w:val="none"/>
              </w:rPr>
            </w:pPr>
            <w:r>
              <w:rPr>
                <w:rFonts w:hint="eastAsia" w:cs="仿宋"/>
                <w:highlight w:val="none"/>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1AE74CCA">
            <w:pPr>
              <w:shd w:val="clear"/>
              <w:topLinePunct/>
              <w:spacing w:line="360" w:lineRule="auto"/>
              <w:jc w:val="center"/>
              <w:rPr>
                <w:rFonts w:cs="仿宋"/>
                <w:highlight w:val="none"/>
              </w:rPr>
            </w:pPr>
          </w:p>
        </w:tc>
      </w:tr>
      <w:tr w14:paraId="4C14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2D09E">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1A2F3">
            <w:pPr>
              <w:shd w:val="clear"/>
              <w:spacing w:line="360" w:lineRule="auto"/>
              <w:rPr>
                <w:rFonts w:cs="仿宋"/>
                <w:highlight w:val="none"/>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4793935A">
            <w:pPr>
              <w:shd w:val="clear"/>
              <w:topLinePunct/>
              <w:spacing w:line="360" w:lineRule="auto"/>
              <w:jc w:val="center"/>
              <w:rPr>
                <w:rFonts w:cs="仿宋"/>
                <w:highlight w:val="none"/>
              </w:rPr>
            </w:pPr>
            <w:r>
              <w:rPr>
                <w:rFonts w:hint="eastAsia" w:cs="仿宋"/>
                <w:highlight w:val="none"/>
              </w:rPr>
              <w:t>年份</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42622916">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6B329972">
            <w:pPr>
              <w:shd w:val="clear"/>
              <w:topLinePunct/>
              <w:spacing w:line="360" w:lineRule="auto"/>
              <w:jc w:val="center"/>
              <w:rPr>
                <w:rFonts w:cs="仿宋"/>
                <w:highlight w:val="none"/>
              </w:rPr>
            </w:pPr>
            <w:r>
              <w:rPr>
                <w:rFonts w:hint="eastAsia" w:cs="仿宋"/>
                <w:highlight w:val="none"/>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36BC1DE2">
            <w:pPr>
              <w:shd w:val="clear"/>
              <w:topLinePunct/>
              <w:spacing w:line="360" w:lineRule="auto"/>
              <w:jc w:val="center"/>
              <w:rPr>
                <w:rFonts w:cs="仿宋"/>
                <w:highlight w:val="none"/>
              </w:rPr>
            </w:pPr>
          </w:p>
        </w:tc>
      </w:tr>
      <w:tr w14:paraId="1180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183BD">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D66FA">
            <w:pPr>
              <w:shd w:val="clear"/>
              <w:spacing w:line="360" w:lineRule="auto"/>
              <w:rPr>
                <w:rFonts w:cs="仿宋"/>
                <w:highlight w:val="none"/>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3EB0FA7C">
            <w:pPr>
              <w:shd w:val="clear"/>
              <w:topLinePunct/>
              <w:spacing w:line="360" w:lineRule="auto"/>
              <w:jc w:val="center"/>
              <w:rPr>
                <w:rFonts w:cs="仿宋"/>
                <w:highlight w:val="none"/>
              </w:rPr>
            </w:pPr>
            <w:r>
              <w:rPr>
                <w:rFonts w:hint="eastAsia" w:cs="仿宋"/>
                <w:highlight w:val="none"/>
              </w:rPr>
              <w:t>年份</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50D86446">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5F84EDD3">
            <w:pPr>
              <w:shd w:val="clear"/>
              <w:topLinePunct/>
              <w:spacing w:line="360" w:lineRule="auto"/>
              <w:jc w:val="center"/>
              <w:rPr>
                <w:rFonts w:cs="仿宋"/>
                <w:highlight w:val="none"/>
              </w:rPr>
            </w:pPr>
            <w:r>
              <w:rPr>
                <w:rFonts w:hint="eastAsia" w:cs="仿宋"/>
                <w:highlight w:val="none"/>
              </w:rPr>
              <w:t>金额</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2FC9A94B">
            <w:pPr>
              <w:shd w:val="clear"/>
              <w:topLinePunct/>
              <w:spacing w:line="360" w:lineRule="auto"/>
              <w:jc w:val="center"/>
              <w:rPr>
                <w:rFonts w:cs="仿宋"/>
                <w:highlight w:val="none"/>
              </w:rPr>
            </w:pPr>
          </w:p>
        </w:tc>
      </w:tr>
      <w:tr w14:paraId="45B9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E1216">
            <w:pPr>
              <w:shd w:val="clear"/>
              <w:spacing w:line="360" w:lineRule="auto"/>
              <w:rPr>
                <w:rFonts w:cs="仿宋"/>
                <w:highlight w:val="none"/>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B0F1E">
            <w:pPr>
              <w:shd w:val="clear"/>
              <w:topLinePunct/>
              <w:adjustRightInd w:val="0"/>
              <w:snapToGrid w:val="0"/>
              <w:spacing w:line="360" w:lineRule="auto"/>
              <w:ind w:left="-120" w:leftChars="-50" w:right="-120" w:rightChars="-50"/>
              <w:jc w:val="center"/>
              <w:rPr>
                <w:rFonts w:cs="仿宋"/>
                <w:highlight w:val="none"/>
              </w:rPr>
            </w:pPr>
            <w:r>
              <w:rPr>
                <w:rFonts w:hint="eastAsia" w:cs="仿宋"/>
                <w:highlight w:val="none"/>
              </w:rPr>
              <w:t>近期资产</w:t>
            </w:r>
          </w:p>
          <w:p w14:paraId="025CA1EF">
            <w:pPr>
              <w:shd w:val="clear"/>
              <w:topLinePunct/>
              <w:adjustRightInd w:val="0"/>
              <w:snapToGrid w:val="0"/>
              <w:spacing w:line="360" w:lineRule="auto"/>
              <w:jc w:val="center"/>
              <w:rPr>
                <w:rFonts w:cs="仿宋"/>
                <w:highlight w:val="none"/>
              </w:rPr>
            </w:pPr>
            <w:r>
              <w:rPr>
                <w:rFonts w:hint="eastAsia" w:cs="仿宋"/>
                <w:highlight w:val="none"/>
              </w:rPr>
              <w:t>负债表</w:t>
            </w:r>
          </w:p>
          <w:p w14:paraId="580211D7">
            <w:pPr>
              <w:shd w:val="clear"/>
              <w:topLinePunct/>
              <w:adjustRightInd w:val="0"/>
              <w:snapToGrid w:val="0"/>
              <w:spacing w:line="360" w:lineRule="auto"/>
              <w:ind w:right="-146" w:rightChars="-61"/>
              <w:jc w:val="center"/>
              <w:rPr>
                <w:rFonts w:cs="仿宋"/>
                <w:highlight w:val="none"/>
              </w:rPr>
            </w:pPr>
            <w:r>
              <w:rPr>
                <w:rFonts w:hint="eastAsia" w:cs="仿宋"/>
                <w:highlight w:val="none"/>
              </w:rPr>
              <w:t>到年月日止</w:t>
            </w: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1C66F3B1">
            <w:pPr>
              <w:shd w:val="clear"/>
              <w:topLinePunct/>
              <w:spacing w:line="360" w:lineRule="auto"/>
              <w:ind w:left="-120" w:leftChars="-50" w:right="-120" w:rightChars="-50"/>
              <w:jc w:val="center"/>
              <w:rPr>
                <w:rFonts w:cs="仿宋"/>
                <w:highlight w:val="none"/>
              </w:rPr>
            </w:pPr>
            <w:r>
              <w:rPr>
                <w:rFonts w:hint="eastAsia" w:cs="仿宋"/>
                <w:highlight w:val="none"/>
              </w:rPr>
              <w:t>固定资产</w:t>
            </w:r>
          </w:p>
        </w:tc>
        <w:tc>
          <w:tcPr>
            <w:tcW w:w="1655" w:type="dxa"/>
            <w:gridSpan w:val="4"/>
            <w:tcBorders>
              <w:top w:val="single" w:color="000000" w:sz="4" w:space="0"/>
              <w:left w:val="single" w:color="000000" w:sz="4" w:space="0"/>
              <w:bottom w:val="single" w:color="000000" w:sz="4" w:space="0"/>
              <w:right w:val="single" w:color="000000" w:sz="4" w:space="0"/>
            </w:tcBorders>
            <w:noWrap w:val="0"/>
            <w:vAlign w:val="center"/>
          </w:tcPr>
          <w:p w14:paraId="490C124E">
            <w:pPr>
              <w:shd w:val="clear"/>
              <w:topLinePunct/>
              <w:spacing w:line="360" w:lineRule="auto"/>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486567DD">
            <w:pPr>
              <w:shd w:val="clear"/>
              <w:topLinePunct/>
              <w:spacing w:line="360" w:lineRule="auto"/>
              <w:ind w:left="-120" w:leftChars="-50" w:right="-120" w:rightChars="-50"/>
              <w:jc w:val="center"/>
              <w:rPr>
                <w:rFonts w:cs="仿宋"/>
                <w:highlight w:val="none"/>
              </w:rPr>
            </w:pPr>
            <w:r>
              <w:rPr>
                <w:rFonts w:hint="eastAsia" w:cs="仿宋"/>
                <w:highlight w:val="none"/>
              </w:rPr>
              <w:t>流动资产</w:t>
            </w:r>
          </w:p>
        </w:tc>
        <w:tc>
          <w:tcPr>
            <w:tcW w:w="2142" w:type="dxa"/>
            <w:gridSpan w:val="2"/>
            <w:tcBorders>
              <w:top w:val="single" w:color="000000" w:sz="4" w:space="0"/>
              <w:left w:val="single" w:color="000000" w:sz="4" w:space="0"/>
              <w:bottom w:val="single" w:color="000000" w:sz="4" w:space="0"/>
              <w:right w:val="single" w:color="000000" w:sz="4" w:space="0"/>
            </w:tcBorders>
            <w:noWrap w:val="0"/>
            <w:vAlign w:val="center"/>
          </w:tcPr>
          <w:p w14:paraId="5C7D131C">
            <w:pPr>
              <w:shd w:val="clear"/>
              <w:topLinePunct/>
              <w:spacing w:line="360" w:lineRule="auto"/>
              <w:ind w:left="-120" w:leftChars="-50" w:right="-120" w:rightChars="-50"/>
              <w:jc w:val="center"/>
              <w:rPr>
                <w:rFonts w:cs="仿宋"/>
                <w:highlight w:val="none"/>
              </w:rPr>
            </w:pPr>
          </w:p>
        </w:tc>
      </w:tr>
      <w:tr w14:paraId="66B6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E1CF2">
            <w:pPr>
              <w:shd w:val="clear"/>
              <w:spacing w:line="360" w:lineRule="auto"/>
              <w:rPr>
                <w:rFonts w:cs="仿宋"/>
                <w:highlight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84DE8">
            <w:pPr>
              <w:shd w:val="clear"/>
              <w:spacing w:line="360" w:lineRule="auto"/>
              <w:rPr>
                <w:rFonts w:cs="仿宋"/>
                <w:highlight w:val="none"/>
              </w:rPr>
            </w:pPr>
          </w:p>
        </w:tc>
        <w:tc>
          <w:tcPr>
            <w:tcW w:w="1097" w:type="dxa"/>
            <w:gridSpan w:val="2"/>
            <w:tcBorders>
              <w:top w:val="single" w:color="000000" w:sz="4" w:space="0"/>
              <w:left w:val="single" w:color="000000" w:sz="4" w:space="0"/>
              <w:bottom w:val="single" w:color="000000" w:sz="4" w:space="0"/>
              <w:right w:val="single" w:color="000000" w:sz="4" w:space="0"/>
            </w:tcBorders>
            <w:noWrap w:val="0"/>
            <w:vAlign w:val="center"/>
          </w:tcPr>
          <w:p w14:paraId="5B36C4D7">
            <w:pPr>
              <w:shd w:val="clear"/>
              <w:topLinePunct/>
              <w:spacing w:line="360" w:lineRule="auto"/>
              <w:ind w:left="-120" w:leftChars="-50" w:right="-120" w:rightChars="-50"/>
              <w:jc w:val="center"/>
              <w:rPr>
                <w:rFonts w:cs="仿宋"/>
                <w:highlight w:val="none"/>
              </w:rPr>
            </w:pPr>
            <w:r>
              <w:rPr>
                <w:rFonts w:hint="eastAsia" w:cs="仿宋"/>
                <w:highlight w:val="none"/>
              </w:rPr>
              <w:t>长期负债</w:t>
            </w:r>
          </w:p>
        </w:tc>
        <w:tc>
          <w:tcPr>
            <w:tcW w:w="732" w:type="dxa"/>
            <w:gridSpan w:val="2"/>
            <w:tcBorders>
              <w:top w:val="single" w:color="000000" w:sz="4" w:space="0"/>
              <w:left w:val="single" w:color="000000" w:sz="4" w:space="0"/>
              <w:bottom w:val="single" w:color="000000" w:sz="4" w:space="0"/>
              <w:right w:val="single" w:color="000000" w:sz="4" w:space="0"/>
            </w:tcBorders>
            <w:noWrap w:val="0"/>
            <w:vAlign w:val="center"/>
          </w:tcPr>
          <w:p w14:paraId="3EAC6309">
            <w:pPr>
              <w:shd w:val="clear"/>
              <w:topLinePunct/>
              <w:spacing w:line="360" w:lineRule="auto"/>
              <w:jc w:val="center"/>
              <w:rPr>
                <w:rFonts w:cs="仿宋"/>
                <w:highlight w:val="none"/>
              </w:rPr>
            </w:pPr>
          </w:p>
        </w:tc>
        <w:tc>
          <w:tcPr>
            <w:tcW w:w="923" w:type="dxa"/>
            <w:gridSpan w:val="2"/>
            <w:tcBorders>
              <w:top w:val="single" w:color="000000" w:sz="4" w:space="0"/>
              <w:left w:val="single" w:color="000000" w:sz="4" w:space="0"/>
              <w:bottom w:val="single" w:color="000000" w:sz="4" w:space="0"/>
              <w:right w:val="single" w:color="000000" w:sz="4" w:space="0"/>
            </w:tcBorders>
            <w:noWrap w:val="0"/>
            <w:vAlign w:val="center"/>
          </w:tcPr>
          <w:p w14:paraId="2E9739F7">
            <w:pPr>
              <w:shd w:val="clear"/>
              <w:topLinePunct/>
              <w:spacing w:line="360" w:lineRule="auto"/>
              <w:ind w:left="-120" w:leftChars="-50" w:right="-120" w:rightChars="-50"/>
              <w:jc w:val="center"/>
              <w:rPr>
                <w:rFonts w:cs="仿宋"/>
                <w:highlight w:val="none"/>
              </w:rPr>
            </w:pPr>
          </w:p>
        </w:tc>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14:paraId="14AAE773">
            <w:pPr>
              <w:shd w:val="clear"/>
              <w:topLinePunct/>
              <w:spacing w:line="360" w:lineRule="auto"/>
              <w:ind w:left="-190" w:leftChars="-79" w:right="-122" w:rightChars="-51"/>
              <w:jc w:val="center"/>
              <w:rPr>
                <w:rFonts w:cs="仿宋"/>
                <w:highlight w:val="none"/>
              </w:rPr>
            </w:pPr>
            <w:r>
              <w:rPr>
                <w:rFonts w:hint="eastAsia" w:cs="仿宋"/>
                <w:highlight w:val="none"/>
              </w:rPr>
              <w:t>流动负债</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8ABF91A">
            <w:pPr>
              <w:shd w:val="clear"/>
              <w:topLinePunct/>
              <w:spacing w:line="360" w:lineRule="auto"/>
              <w:ind w:left="-120" w:leftChars="-50" w:right="-120" w:rightChars="-50"/>
              <w:jc w:val="center"/>
              <w:rPr>
                <w:rFonts w:cs="仿宋"/>
                <w:highlight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1C9F51">
            <w:pPr>
              <w:shd w:val="clear"/>
              <w:topLinePunct/>
              <w:spacing w:line="360" w:lineRule="auto"/>
              <w:jc w:val="center"/>
              <w:rPr>
                <w:rFonts w:cs="仿宋"/>
                <w:highlight w:val="none"/>
              </w:rPr>
            </w:pPr>
          </w:p>
        </w:tc>
      </w:tr>
      <w:tr w14:paraId="2B20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8997B">
            <w:pPr>
              <w:shd w:val="clear"/>
              <w:spacing w:line="360" w:lineRule="auto"/>
              <w:rPr>
                <w:rFonts w:cs="仿宋"/>
                <w:highlight w:val="none"/>
              </w:rPr>
            </w:pPr>
          </w:p>
        </w:tc>
        <w:tc>
          <w:tcPr>
            <w:tcW w:w="7656" w:type="dxa"/>
            <w:gridSpan w:val="11"/>
            <w:tcBorders>
              <w:top w:val="single" w:color="000000" w:sz="4" w:space="0"/>
              <w:left w:val="single" w:color="000000" w:sz="4" w:space="0"/>
              <w:bottom w:val="single" w:color="000000" w:sz="4" w:space="0"/>
              <w:right w:val="single" w:color="000000" w:sz="4" w:space="0"/>
            </w:tcBorders>
            <w:noWrap w:val="0"/>
            <w:vAlign w:val="center"/>
          </w:tcPr>
          <w:p w14:paraId="43721724">
            <w:pPr>
              <w:shd w:val="clear"/>
              <w:topLinePunct/>
              <w:spacing w:line="360" w:lineRule="auto"/>
              <w:rPr>
                <w:rFonts w:cs="仿宋"/>
                <w:highlight w:val="none"/>
              </w:rPr>
            </w:pPr>
            <w:r>
              <w:rPr>
                <w:rFonts w:hint="eastAsia" w:cs="仿宋"/>
                <w:highlight w:val="none"/>
              </w:rPr>
              <w:t>经营范围：</w:t>
            </w:r>
          </w:p>
        </w:tc>
      </w:tr>
    </w:tbl>
    <w:p w14:paraId="67BD1EFE">
      <w:pPr>
        <w:shd w:val="clear"/>
        <w:topLinePunct/>
        <w:spacing w:line="360" w:lineRule="auto"/>
        <w:ind w:firstLine="480" w:firstLineChars="200"/>
        <w:rPr>
          <w:rFonts w:cs="仿宋"/>
          <w:highlight w:val="none"/>
        </w:rPr>
      </w:pPr>
      <w:r>
        <w:rPr>
          <w:rFonts w:hint="eastAsia" w:cs="仿宋"/>
          <w:highlight w:val="none"/>
        </w:rPr>
        <w:t>注：本表可</w:t>
      </w:r>
      <w:r>
        <w:rPr>
          <w:rFonts w:hint="eastAsia" w:cs="仿宋"/>
          <w:highlight w:val="none"/>
          <w:lang w:val="en-US" w:eastAsia="zh-CN"/>
        </w:rPr>
        <w:t>根据实际修改、</w:t>
      </w:r>
      <w:r>
        <w:rPr>
          <w:rFonts w:hint="eastAsia" w:cs="仿宋"/>
          <w:highlight w:val="none"/>
        </w:rPr>
        <w:t>增加</w:t>
      </w:r>
      <w:r>
        <w:rPr>
          <w:rFonts w:hint="eastAsia" w:cs="仿宋"/>
          <w:highlight w:val="none"/>
          <w:lang w:val="en-US" w:eastAsia="zh-CN"/>
        </w:rPr>
        <w:t>或</w:t>
      </w:r>
      <w:r>
        <w:rPr>
          <w:rFonts w:hint="eastAsia" w:cs="仿宋"/>
          <w:highlight w:val="none"/>
        </w:rPr>
        <w:t>扩展。</w:t>
      </w:r>
    </w:p>
    <w:p w14:paraId="4CD76598">
      <w:pPr>
        <w:shd w:val="clear"/>
        <w:topLinePunct/>
        <w:spacing w:line="360" w:lineRule="auto"/>
        <w:ind w:firstLine="480" w:firstLineChars="200"/>
        <w:rPr>
          <w:rFonts w:ascii="仿宋" w:hAnsi="仿宋" w:eastAsia="仿宋"/>
          <w:sz w:val="30"/>
          <w:szCs w:val="30"/>
          <w:highlight w:val="none"/>
        </w:rPr>
      </w:pPr>
      <w:r>
        <w:rPr>
          <w:rFonts w:hint="eastAsia" w:cs="仿宋"/>
          <w:highlight w:val="none"/>
        </w:rPr>
        <w:t>附：</w:t>
      </w:r>
      <w:r>
        <w:rPr>
          <w:rFonts w:hint="eastAsia"/>
          <w:highlight w:val="none"/>
        </w:rPr>
        <w:t>包括但不限于：营业执照、资质证书、体系认证、资信等级、人员资格证书、业绩合同、获奖证书等的复印件，加盖公章。</w:t>
      </w:r>
      <w:bookmarkStart w:id="187" w:name="_Toc426317296"/>
      <w:r>
        <w:rPr>
          <w:rFonts w:hint="eastAsia" w:cs="仿宋"/>
          <w:bCs/>
          <w:highlight w:val="none"/>
        </w:rPr>
        <w:br w:type="page"/>
      </w:r>
      <w:r>
        <w:rPr>
          <w:rFonts w:hint="eastAsia" w:cs="仿宋"/>
          <w:bCs/>
          <w:highlight w:val="none"/>
        </w:rPr>
        <w:t>5.2近3年财务状况表</w:t>
      </w:r>
    </w:p>
    <w:p w14:paraId="71D5245B">
      <w:pPr>
        <w:shd w:val="clear"/>
        <w:spacing w:line="360" w:lineRule="auto"/>
        <w:ind w:firstLine="480" w:firstLineChars="200"/>
        <w:rPr>
          <w:rFonts w:hint="eastAsia" w:cs="仿宋"/>
          <w:bCs/>
          <w:highlight w:val="none"/>
        </w:rPr>
      </w:pPr>
      <w:r>
        <w:rPr>
          <w:rFonts w:hint="eastAsia" w:cs="仿宋"/>
          <w:bCs/>
          <w:highlight w:val="none"/>
        </w:rPr>
        <w:t>投标人应根据投标人须知第3.5.2项的要求在本表后附相关证明材料。</w:t>
      </w:r>
    </w:p>
    <w:p w14:paraId="03ABDE5D">
      <w:pPr>
        <w:shd w:val="clear"/>
        <w:spacing w:line="360" w:lineRule="auto"/>
        <w:rPr>
          <w:rFonts w:cs="仿宋"/>
          <w:bCs/>
          <w:highlight w:val="none"/>
        </w:rPr>
      </w:pPr>
    </w:p>
    <w:p w14:paraId="3548A155">
      <w:pPr>
        <w:shd w:val="clear"/>
        <w:spacing w:line="360" w:lineRule="auto"/>
        <w:rPr>
          <w:rStyle w:val="95"/>
          <w:rFonts w:cs="仿宋"/>
          <w:b w:val="0"/>
          <w:highlight w:val="none"/>
        </w:rPr>
      </w:pPr>
      <w:r>
        <w:rPr>
          <w:rFonts w:hint="eastAsia" w:cs="仿宋"/>
          <w:bCs/>
          <w:highlight w:val="none"/>
        </w:rPr>
        <w:t>5.3符合资格条件的业绩汇总表</w:t>
      </w:r>
      <w:bookmarkEnd w:id="187"/>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036"/>
        <w:gridCol w:w="3053"/>
        <w:gridCol w:w="1276"/>
        <w:gridCol w:w="1701"/>
      </w:tblGrid>
      <w:tr w14:paraId="4A5E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31" w:type="dxa"/>
            <w:noWrap w:val="0"/>
            <w:vAlign w:val="center"/>
          </w:tcPr>
          <w:p w14:paraId="2DB9DC5F">
            <w:pPr>
              <w:shd w:val="clear"/>
              <w:spacing w:line="360" w:lineRule="auto"/>
              <w:jc w:val="center"/>
              <w:rPr>
                <w:rFonts w:cs="仿宋"/>
                <w:highlight w:val="none"/>
              </w:rPr>
            </w:pPr>
            <w:r>
              <w:rPr>
                <w:rFonts w:hint="eastAsia" w:cs="仿宋"/>
                <w:highlight w:val="none"/>
              </w:rPr>
              <w:t>序号</w:t>
            </w:r>
          </w:p>
        </w:tc>
        <w:tc>
          <w:tcPr>
            <w:tcW w:w="2036" w:type="dxa"/>
            <w:noWrap w:val="0"/>
            <w:vAlign w:val="center"/>
          </w:tcPr>
          <w:p w14:paraId="0BB23EA6">
            <w:pPr>
              <w:shd w:val="clear"/>
              <w:spacing w:line="360" w:lineRule="auto"/>
              <w:jc w:val="center"/>
              <w:rPr>
                <w:rFonts w:cs="仿宋"/>
                <w:highlight w:val="none"/>
              </w:rPr>
            </w:pPr>
            <w:bookmarkStart w:id="188" w:name="_Toc351401531"/>
            <w:bookmarkStart w:id="189" w:name="_Toc351401530"/>
            <w:r>
              <w:rPr>
                <w:rFonts w:hint="eastAsia" w:cs="仿宋"/>
                <w:highlight w:val="none"/>
              </w:rPr>
              <w:t>项目业主</w:t>
            </w:r>
            <w:bookmarkEnd w:id="188"/>
            <w:r>
              <w:rPr>
                <w:rFonts w:hint="eastAsia" w:cs="仿宋"/>
                <w:highlight w:val="none"/>
              </w:rPr>
              <w:t>名称</w:t>
            </w:r>
            <w:bookmarkEnd w:id="189"/>
          </w:p>
        </w:tc>
        <w:tc>
          <w:tcPr>
            <w:tcW w:w="3053" w:type="dxa"/>
            <w:noWrap w:val="0"/>
            <w:vAlign w:val="center"/>
          </w:tcPr>
          <w:p w14:paraId="2E505250">
            <w:pPr>
              <w:shd w:val="clear"/>
              <w:spacing w:line="360" w:lineRule="auto"/>
              <w:jc w:val="center"/>
              <w:rPr>
                <w:rFonts w:hint="eastAsia" w:eastAsia="宋体" w:cs="仿宋"/>
                <w:highlight w:val="none"/>
                <w:lang w:eastAsia="zh-CN"/>
              </w:rPr>
            </w:pPr>
            <w:r>
              <w:rPr>
                <w:rFonts w:hint="eastAsia" w:cs="仿宋"/>
                <w:highlight w:val="none"/>
                <w:lang w:val="en-US" w:eastAsia="zh-CN"/>
              </w:rPr>
              <w:t>合同名称</w:t>
            </w:r>
          </w:p>
        </w:tc>
        <w:tc>
          <w:tcPr>
            <w:tcW w:w="1276" w:type="dxa"/>
            <w:noWrap w:val="0"/>
            <w:vAlign w:val="center"/>
          </w:tcPr>
          <w:p w14:paraId="27BAD5AB">
            <w:pPr>
              <w:shd w:val="clear"/>
              <w:spacing w:line="360" w:lineRule="auto"/>
              <w:jc w:val="center"/>
              <w:rPr>
                <w:rFonts w:cs="仿宋"/>
                <w:highlight w:val="none"/>
              </w:rPr>
            </w:pPr>
          </w:p>
        </w:tc>
        <w:tc>
          <w:tcPr>
            <w:tcW w:w="1701" w:type="dxa"/>
            <w:noWrap w:val="0"/>
            <w:vAlign w:val="center"/>
          </w:tcPr>
          <w:p w14:paraId="5F1F94FF">
            <w:pPr>
              <w:shd w:val="clear"/>
              <w:spacing w:line="360" w:lineRule="auto"/>
              <w:jc w:val="center"/>
              <w:rPr>
                <w:rFonts w:cs="仿宋"/>
                <w:highlight w:val="none"/>
              </w:rPr>
            </w:pPr>
            <w:r>
              <w:rPr>
                <w:rFonts w:hint="eastAsia" w:cs="仿宋"/>
                <w:highlight w:val="none"/>
              </w:rPr>
              <w:t>签订日期</w:t>
            </w:r>
          </w:p>
          <w:p w14:paraId="4C1C06C3">
            <w:pPr>
              <w:shd w:val="clear"/>
              <w:spacing w:line="360" w:lineRule="auto"/>
              <w:jc w:val="center"/>
              <w:rPr>
                <w:rFonts w:cs="仿宋"/>
                <w:highlight w:val="none"/>
              </w:rPr>
            </w:pPr>
            <w:r>
              <w:rPr>
                <w:rFonts w:hint="eastAsia" w:cs="仿宋"/>
                <w:highlight w:val="none"/>
              </w:rPr>
              <w:t>（年月）</w:t>
            </w:r>
          </w:p>
        </w:tc>
      </w:tr>
      <w:tr w14:paraId="64B9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31" w:type="dxa"/>
            <w:noWrap w:val="0"/>
            <w:vAlign w:val="center"/>
          </w:tcPr>
          <w:p w14:paraId="710A77B7">
            <w:pPr>
              <w:shd w:val="clear"/>
              <w:spacing w:line="360" w:lineRule="auto"/>
              <w:jc w:val="center"/>
              <w:rPr>
                <w:rFonts w:cs="仿宋"/>
                <w:highlight w:val="none"/>
              </w:rPr>
            </w:pPr>
            <w:r>
              <w:rPr>
                <w:rFonts w:hint="eastAsia" w:cs="仿宋"/>
                <w:highlight w:val="none"/>
              </w:rPr>
              <w:t>1</w:t>
            </w:r>
          </w:p>
        </w:tc>
        <w:tc>
          <w:tcPr>
            <w:tcW w:w="2036" w:type="dxa"/>
            <w:noWrap w:val="0"/>
            <w:vAlign w:val="center"/>
          </w:tcPr>
          <w:p w14:paraId="6EB906D4">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7EF75745">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69C9E154">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6CD022BB">
            <w:pPr>
              <w:pStyle w:val="69"/>
              <w:shd w:val="clear"/>
              <w:spacing w:beforeLines="0" w:line="360" w:lineRule="auto"/>
              <w:rPr>
                <w:rFonts w:ascii="宋体" w:hAnsi="宋体" w:cs="仿宋"/>
                <w:b w:val="0"/>
                <w:sz w:val="24"/>
                <w:szCs w:val="24"/>
                <w:highlight w:val="none"/>
                <w:lang w:val="en-US" w:eastAsia="zh-CN"/>
              </w:rPr>
            </w:pPr>
          </w:p>
        </w:tc>
      </w:tr>
      <w:tr w14:paraId="0A68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31" w:type="dxa"/>
            <w:noWrap w:val="0"/>
            <w:vAlign w:val="center"/>
          </w:tcPr>
          <w:p w14:paraId="57D8B0BB">
            <w:pPr>
              <w:shd w:val="clear"/>
              <w:spacing w:line="360" w:lineRule="auto"/>
              <w:jc w:val="center"/>
              <w:rPr>
                <w:rFonts w:cs="仿宋"/>
                <w:highlight w:val="none"/>
              </w:rPr>
            </w:pPr>
            <w:r>
              <w:rPr>
                <w:rFonts w:hint="eastAsia" w:cs="仿宋"/>
                <w:highlight w:val="none"/>
              </w:rPr>
              <w:t>2</w:t>
            </w:r>
          </w:p>
        </w:tc>
        <w:tc>
          <w:tcPr>
            <w:tcW w:w="2036" w:type="dxa"/>
            <w:noWrap w:val="0"/>
            <w:vAlign w:val="center"/>
          </w:tcPr>
          <w:p w14:paraId="631823A0">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75EE2619">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6590B4E1">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44AD8CA1">
            <w:pPr>
              <w:pStyle w:val="69"/>
              <w:shd w:val="clear"/>
              <w:spacing w:beforeLines="0" w:line="360" w:lineRule="auto"/>
              <w:rPr>
                <w:rFonts w:ascii="宋体" w:hAnsi="宋体" w:cs="仿宋"/>
                <w:b w:val="0"/>
                <w:sz w:val="24"/>
                <w:szCs w:val="24"/>
                <w:highlight w:val="none"/>
                <w:lang w:val="en-US" w:eastAsia="zh-CN"/>
              </w:rPr>
            </w:pPr>
          </w:p>
        </w:tc>
      </w:tr>
      <w:tr w14:paraId="1719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31" w:type="dxa"/>
            <w:noWrap w:val="0"/>
            <w:vAlign w:val="center"/>
          </w:tcPr>
          <w:p w14:paraId="30AD67F0">
            <w:pPr>
              <w:shd w:val="clear"/>
              <w:spacing w:line="360" w:lineRule="auto"/>
              <w:jc w:val="center"/>
              <w:rPr>
                <w:rFonts w:cs="仿宋"/>
                <w:highlight w:val="none"/>
              </w:rPr>
            </w:pPr>
            <w:r>
              <w:rPr>
                <w:rFonts w:hint="eastAsia" w:cs="仿宋"/>
                <w:highlight w:val="none"/>
              </w:rPr>
              <w:t>3</w:t>
            </w:r>
          </w:p>
        </w:tc>
        <w:tc>
          <w:tcPr>
            <w:tcW w:w="2036" w:type="dxa"/>
            <w:noWrap w:val="0"/>
            <w:vAlign w:val="center"/>
          </w:tcPr>
          <w:p w14:paraId="3FDCF2EF">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62C1A026">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661DB13F">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581BE8B2">
            <w:pPr>
              <w:pStyle w:val="69"/>
              <w:shd w:val="clear"/>
              <w:spacing w:beforeLines="0" w:line="360" w:lineRule="auto"/>
              <w:rPr>
                <w:rFonts w:ascii="宋体" w:hAnsi="宋体" w:cs="仿宋"/>
                <w:b w:val="0"/>
                <w:sz w:val="24"/>
                <w:szCs w:val="24"/>
                <w:highlight w:val="none"/>
                <w:lang w:val="en-US" w:eastAsia="zh-CN"/>
              </w:rPr>
            </w:pPr>
          </w:p>
        </w:tc>
      </w:tr>
      <w:tr w14:paraId="3E6D0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31" w:type="dxa"/>
            <w:noWrap w:val="0"/>
            <w:vAlign w:val="center"/>
          </w:tcPr>
          <w:p w14:paraId="53AC6636">
            <w:pPr>
              <w:shd w:val="clear"/>
              <w:spacing w:line="360" w:lineRule="auto"/>
              <w:jc w:val="center"/>
              <w:rPr>
                <w:rFonts w:cs="仿宋"/>
                <w:highlight w:val="none"/>
              </w:rPr>
            </w:pPr>
            <w:r>
              <w:rPr>
                <w:rFonts w:hint="eastAsia" w:cs="仿宋"/>
                <w:highlight w:val="none"/>
              </w:rPr>
              <w:t>……</w:t>
            </w:r>
          </w:p>
        </w:tc>
        <w:tc>
          <w:tcPr>
            <w:tcW w:w="2036" w:type="dxa"/>
            <w:noWrap w:val="0"/>
            <w:vAlign w:val="center"/>
          </w:tcPr>
          <w:p w14:paraId="09604670">
            <w:pPr>
              <w:pStyle w:val="69"/>
              <w:shd w:val="clear"/>
              <w:spacing w:beforeLines="0" w:line="360" w:lineRule="auto"/>
              <w:rPr>
                <w:rFonts w:ascii="宋体" w:hAnsi="宋体" w:cs="仿宋"/>
                <w:b w:val="0"/>
                <w:sz w:val="24"/>
                <w:szCs w:val="24"/>
                <w:highlight w:val="none"/>
                <w:lang w:val="en-US" w:eastAsia="zh-CN"/>
              </w:rPr>
            </w:pPr>
          </w:p>
        </w:tc>
        <w:tc>
          <w:tcPr>
            <w:tcW w:w="3053" w:type="dxa"/>
            <w:noWrap w:val="0"/>
            <w:vAlign w:val="center"/>
          </w:tcPr>
          <w:p w14:paraId="508A897C">
            <w:pPr>
              <w:pStyle w:val="69"/>
              <w:shd w:val="clear"/>
              <w:spacing w:beforeLines="0" w:line="360" w:lineRule="auto"/>
              <w:rPr>
                <w:rFonts w:ascii="宋体" w:hAnsi="宋体" w:cs="仿宋"/>
                <w:b w:val="0"/>
                <w:sz w:val="24"/>
                <w:szCs w:val="24"/>
                <w:highlight w:val="none"/>
                <w:lang w:val="en-US" w:eastAsia="zh-CN"/>
              </w:rPr>
            </w:pPr>
          </w:p>
        </w:tc>
        <w:tc>
          <w:tcPr>
            <w:tcW w:w="1276" w:type="dxa"/>
            <w:noWrap w:val="0"/>
            <w:vAlign w:val="center"/>
          </w:tcPr>
          <w:p w14:paraId="010BAEB3">
            <w:pPr>
              <w:pStyle w:val="69"/>
              <w:shd w:val="clear"/>
              <w:spacing w:beforeLines="0" w:line="360" w:lineRule="auto"/>
              <w:rPr>
                <w:rFonts w:ascii="宋体" w:hAnsi="宋体" w:cs="仿宋"/>
                <w:b w:val="0"/>
                <w:sz w:val="24"/>
                <w:szCs w:val="24"/>
                <w:highlight w:val="none"/>
                <w:lang w:val="en-US" w:eastAsia="zh-CN"/>
              </w:rPr>
            </w:pPr>
          </w:p>
        </w:tc>
        <w:tc>
          <w:tcPr>
            <w:tcW w:w="1701" w:type="dxa"/>
            <w:noWrap w:val="0"/>
            <w:vAlign w:val="center"/>
          </w:tcPr>
          <w:p w14:paraId="56DDDB27">
            <w:pPr>
              <w:pStyle w:val="69"/>
              <w:shd w:val="clear"/>
              <w:spacing w:beforeLines="0" w:line="360" w:lineRule="auto"/>
              <w:rPr>
                <w:rFonts w:ascii="宋体" w:hAnsi="宋体" w:cs="仿宋"/>
                <w:b w:val="0"/>
                <w:sz w:val="24"/>
                <w:szCs w:val="24"/>
                <w:highlight w:val="none"/>
                <w:lang w:val="en-US" w:eastAsia="zh-CN"/>
              </w:rPr>
            </w:pPr>
          </w:p>
        </w:tc>
      </w:tr>
    </w:tbl>
    <w:p w14:paraId="42CF9755">
      <w:pPr>
        <w:shd w:val="clear"/>
        <w:topLinePunct/>
        <w:spacing w:line="360" w:lineRule="auto"/>
        <w:ind w:firstLine="482" w:firstLineChars="200"/>
        <w:rPr>
          <w:rFonts w:cs="仿宋"/>
          <w:b/>
          <w:bCs/>
          <w:highlight w:val="none"/>
        </w:rPr>
      </w:pPr>
    </w:p>
    <w:p w14:paraId="7B54B1B2">
      <w:pPr>
        <w:shd w:val="clear"/>
        <w:topLinePunct/>
        <w:spacing w:line="360" w:lineRule="auto"/>
        <w:ind w:firstLine="482" w:firstLineChars="200"/>
        <w:rPr>
          <w:rFonts w:cs="仿宋"/>
          <w:b/>
          <w:bCs/>
          <w:highlight w:val="none"/>
        </w:rPr>
      </w:pPr>
      <w:r>
        <w:rPr>
          <w:rFonts w:hint="eastAsia" w:cs="仿宋"/>
          <w:b/>
          <w:bCs/>
          <w:highlight w:val="none"/>
        </w:rPr>
        <w:t>注：提供的业绩要附合同复印件作为证明。</w:t>
      </w:r>
    </w:p>
    <w:p w14:paraId="346F6C81">
      <w:pPr>
        <w:shd w:val="clear"/>
        <w:spacing w:line="360" w:lineRule="auto"/>
        <w:rPr>
          <w:rFonts w:cs="仿宋"/>
          <w:highlight w:val="none"/>
        </w:rPr>
      </w:pPr>
    </w:p>
    <w:p w14:paraId="0B286508">
      <w:pPr>
        <w:shd w:val="clear"/>
        <w:spacing w:line="360" w:lineRule="auto"/>
        <w:ind w:firstLine="4200" w:firstLineChars="1750"/>
        <w:rPr>
          <w:rFonts w:cs="仿宋"/>
          <w:highlight w:val="none"/>
        </w:rPr>
      </w:pPr>
      <w:r>
        <w:rPr>
          <w:rFonts w:hint="eastAsia" w:cs="仿宋"/>
          <w:highlight w:val="none"/>
        </w:rPr>
        <w:t>投标人：（盖单位章）</w:t>
      </w:r>
    </w:p>
    <w:p w14:paraId="3B8332CE">
      <w:pPr>
        <w:shd w:val="clear"/>
        <w:spacing w:line="360" w:lineRule="auto"/>
        <w:ind w:firstLine="4200" w:firstLineChars="1750"/>
        <w:rPr>
          <w:rFonts w:cs="仿宋"/>
          <w:highlight w:val="none"/>
        </w:rPr>
      </w:pPr>
      <w:r>
        <w:rPr>
          <w:rFonts w:hint="eastAsia" w:cs="仿宋"/>
          <w:highlight w:val="none"/>
        </w:rPr>
        <w:t>法定代表人或其委托代理人：（签字）</w:t>
      </w:r>
    </w:p>
    <w:p w14:paraId="775EE82D">
      <w:pPr>
        <w:shd w:val="clear"/>
        <w:spacing w:line="360" w:lineRule="auto"/>
        <w:ind w:firstLine="4200" w:firstLineChars="1750"/>
        <w:rPr>
          <w:rFonts w:hint="eastAsia" w:cs="仿宋"/>
          <w:highlight w:val="none"/>
        </w:rPr>
      </w:pPr>
      <w:r>
        <w:rPr>
          <w:rFonts w:hint="eastAsia" w:cs="仿宋"/>
          <w:highlight w:val="none"/>
        </w:rPr>
        <w:t>年月日</w:t>
      </w:r>
    </w:p>
    <w:p w14:paraId="6DB7BFBD">
      <w:pPr>
        <w:shd w:val="clear"/>
        <w:spacing w:line="360" w:lineRule="auto"/>
        <w:rPr>
          <w:rFonts w:hint="eastAsia" w:cs="仿宋"/>
          <w:bCs/>
          <w:highlight w:val="none"/>
        </w:rPr>
      </w:pPr>
      <w:r>
        <w:rPr>
          <w:rFonts w:hint="eastAsia" w:cs="仿宋"/>
          <w:bCs/>
          <w:highlight w:val="none"/>
        </w:rPr>
        <w:t>5.4近年发生的诉讼及仲裁情况</w:t>
      </w:r>
    </w:p>
    <w:p w14:paraId="4A954315">
      <w:pPr>
        <w:shd w:val="clear"/>
        <w:spacing w:line="360" w:lineRule="auto"/>
        <w:ind w:firstLine="480" w:firstLineChars="200"/>
        <w:rPr>
          <w:rFonts w:hint="eastAsia" w:cs="仿宋"/>
          <w:bCs/>
          <w:highlight w:val="none"/>
        </w:rPr>
        <w:sectPr>
          <w:footerReference r:id="rId8" w:type="default"/>
          <w:pgSz w:w="11907" w:h="16840"/>
          <w:pgMar w:top="1304" w:right="1304" w:bottom="1304" w:left="1304" w:header="850" w:footer="992" w:gutter="0"/>
          <w:pgNumType w:fmt="decimal"/>
          <w:cols w:space="720" w:num="1"/>
          <w:docGrid w:linePitch="360" w:charSpace="0"/>
        </w:sectPr>
      </w:pPr>
      <w:r>
        <w:rPr>
          <w:rFonts w:hint="eastAsia" w:cs="仿宋"/>
          <w:bCs/>
          <w:highlight w:val="none"/>
        </w:rPr>
        <w:t>注：投标人应根据投标人须知第3.5.4项的要求附相关证明材料。</w:t>
      </w:r>
    </w:p>
    <w:p w14:paraId="790AB08F">
      <w:pPr>
        <w:pStyle w:val="58"/>
        <w:shd w:val="clear"/>
        <w:ind w:left="0" w:firstLine="0"/>
        <w:rPr>
          <w:rFonts w:hint="eastAsia" w:cs="仿宋"/>
          <w:b w:val="0"/>
          <w:highlight w:val="none"/>
        </w:rPr>
      </w:pPr>
      <w:bookmarkStart w:id="190" w:name="_Toc506105878"/>
      <w:bookmarkStart w:id="191" w:name="_Toc19580_WPSOffice_Level1"/>
      <w:bookmarkStart w:id="192" w:name="_Toc391556618"/>
      <w:bookmarkStart w:id="193" w:name="_Toc20622_WPSOffice_Level1"/>
      <w:bookmarkStart w:id="194" w:name="_Toc352160853"/>
      <w:bookmarkStart w:id="195" w:name="_Toc508871758"/>
      <w:r>
        <w:rPr>
          <w:rFonts w:hint="eastAsia" w:cs="仿宋"/>
          <w:b w:val="0"/>
          <w:highlight w:val="none"/>
        </w:rPr>
        <w:t>6、报价表</w:t>
      </w:r>
      <w:bookmarkEnd w:id="190"/>
      <w:bookmarkEnd w:id="191"/>
      <w:bookmarkEnd w:id="192"/>
      <w:bookmarkEnd w:id="193"/>
      <w:bookmarkEnd w:id="194"/>
      <w:bookmarkEnd w:id="195"/>
    </w:p>
    <w:p w14:paraId="1FBFCB7B">
      <w:pPr>
        <w:shd w:val="clear"/>
        <w:spacing w:line="360" w:lineRule="auto"/>
        <w:rPr>
          <w:rFonts w:cs="仿宋"/>
          <w:b/>
          <w:highlight w:val="none"/>
        </w:rPr>
      </w:pPr>
      <w:r>
        <w:rPr>
          <w:rFonts w:hint="eastAsia" w:cs="仿宋"/>
          <w:b/>
          <w:highlight w:val="none"/>
        </w:rPr>
        <w:t>6.1报价说明：</w:t>
      </w:r>
    </w:p>
    <w:p w14:paraId="4F96C9F5">
      <w:pPr>
        <w:shd w:val="clear"/>
        <w:tabs>
          <w:tab w:val="left" w:pos="945"/>
        </w:tabs>
        <w:spacing w:line="360" w:lineRule="auto"/>
        <w:ind w:firstLine="480" w:firstLineChars="200"/>
        <w:rPr>
          <w:rFonts w:cs="仿宋"/>
          <w:highlight w:val="none"/>
        </w:rPr>
      </w:pPr>
      <w:r>
        <w:rPr>
          <w:rFonts w:hint="eastAsia" w:cs="仿宋"/>
          <w:highlight w:val="none"/>
        </w:rPr>
        <w:t>（1）报价表应按本招标文件规定的格式填写。</w:t>
      </w:r>
    </w:p>
    <w:p w14:paraId="55A953E6">
      <w:pPr>
        <w:shd w:val="clear"/>
        <w:tabs>
          <w:tab w:val="left" w:pos="945"/>
        </w:tabs>
        <w:spacing w:line="360" w:lineRule="auto"/>
        <w:ind w:firstLine="480" w:firstLineChars="200"/>
        <w:rPr>
          <w:rFonts w:cs="仿宋"/>
          <w:highlight w:val="none"/>
        </w:rPr>
      </w:pPr>
      <w:r>
        <w:rPr>
          <w:rFonts w:hint="eastAsia" w:cs="仿宋"/>
          <w:highlight w:val="none"/>
        </w:rPr>
        <w:t>（2）报价币种为人民币。</w:t>
      </w:r>
    </w:p>
    <w:p w14:paraId="557E7445">
      <w:pPr>
        <w:shd w:val="clear"/>
        <w:tabs>
          <w:tab w:val="left" w:pos="945"/>
        </w:tabs>
        <w:spacing w:line="360" w:lineRule="auto"/>
        <w:ind w:firstLine="480" w:firstLineChars="200"/>
        <w:rPr>
          <w:rFonts w:cs="仿宋"/>
          <w:highlight w:val="none"/>
        </w:rPr>
      </w:pPr>
      <w:r>
        <w:rPr>
          <w:rFonts w:hint="eastAsia" w:cs="仿宋"/>
          <w:highlight w:val="none"/>
        </w:rPr>
        <w:t>（3）如果按单价计算的结果与总价不一致，以单价为准修正总价。</w:t>
      </w:r>
    </w:p>
    <w:p w14:paraId="7EDB56ED">
      <w:pPr>
        <w:shd w:val="clear"/>
        <w:tabs>
          <w:tab w:val="left" w:pos="945"/>
        </w:tabs>
        <w:spacing w:line="360" w:lineRule="auto"/>
        <w:ind w:firstLine="480" w:firstLineChars="200"/>
        <w:rPr>
          <w:rFonts w:cs="仿宋"/>
          <w:highlight w:val="none"/>
        </w:rPr>
      </w:pPr>
      <w:r>
        <w:rPr>
          <w:rFonts w:hint="eastAsia" w:cs="仿宋"/>
          <w:highlight w:val="none"/>
        </w:rPr>
        <w:t>（4）报价清单中有计算或汇总中的算术错误时，将按招标须知中有关规定执行。</w:t>
      </w:r>
    </w:p>
    <w:p w14:paraId="0AA5285D">
      <w:pPr>
        <w:shd w:val="clear"/>
        <w:tabs>
          <w:tab w:val="left" w:pos="945"/>
        </w:tabs>
        <w:spacing w:line="360" w:lineRule="auto"/>
        <w:ind w:firstLine="480" w:firstLineChars="200"/>
        <w:rPr>
          <w:rFonts w:cs="仿宋"/>
          <w:highlight w:val="none"/>
        </w:rPr>
      </w:pPr>
      <w:r>
        <w:rPr>
          <w:rFonts w:hint="eastAsia" w:cs="仿宋"/>
          <w:highlight w:val="none"/>
        </w:rPr>
        <w:t>（5）报价中包含</w:t>
      </w:r>
      <w:r>
        <w:rPr>
          <w:rFonts w:hint="eastAsia" w:ascii="宋体" w:hAnsi="宋体" w:cs="宋体"/>
          <w:color w:val="000000"/>
          <w:sz w:val="24"/>
          <w:highlight w:val="none"/>
        </w:rPr>
        <w:t>材料费、</w:t>
      </w:r>
      <w:r>
        <w:rPr>
          <w:rFonts w:hint="eastAsia" w:ascii="宋体" w:hAnsi="宋体" w:cs="宋体"/>
          <w:color w:val="000000"/>
          <w:sz w:val="24"/>
          <w:highlight w:val="none"/>
          <w:lang w:val="zh-CN"/>
        </w:rPr>
        <w:t>往返运输、</w:t>
      </w:r>
      <w:r>
        <w:rPr>
          <w:rFonts w:hint="eastAsia" w:ascii="宋体" w:hAnsi="宋体" w:cs="宋体"/>
          <w:color w:val="000000"/>
          <w:sz w:val="24"/>
          <w:highlight w:val="none"/>
        </w:rPr>
        <w:t>人工、</w:t>
      </w:r>
      <w:r>
        <w:rPr>
          <w:rFonts w:hint="eastAsia" w:ascii="宋体" w:hAnsi="宋体" w:cs="宋体"/>
          <w:color w:val="000000"/>
          <w:sz w:val="24"/>
          <w:highlight w:val="none"/>
          <w:lang w:val="zh-CN"/>
        </w:rPr>
        <w:t>试验</w:t>
      </w:r>
      <w:r>
        <w:rPr>
          <w:rFonts w:hint="eastAsia" w:ascii="宋体" w:hAnsi="宋体" w:cs="宋体"/>
          <w:color w:val="000000"/>
          <w:sz w:val="24"/>
          <w:highlight w:val="none"/>
        </w:rPr>
        <w:t>等费用</w:t>
      </w:r>
      <w:r>
        <w:rPr>
          <w:rFonts w:hint="eastAsia" w:cs="仿宋"/>
          <w:highlight w:val="none"/>
        </w:rPr>
        <w:t>。</w:t>
      </w:r>
    </w:p>
    <w:p w14:paraId="23280108">
      <w:pPr>
        <w:shd w:val="clear"/>
        <w:tabs>
          <w:tab w:val="left" w:pos="945"/>
        </w:tabs>
        <w:spacing w:line="360" w:lineRule="auto"/>
        <w:ind w:firstLine="480" w:firstLineChars="200"/>
        <w:rPr>
          <w:rFonts w:cs="仿宋"/>
          <w:highlight w:val="none"/>
        </w:rPr>
      </w:pPr>
      <w:r>
        <w:rPr>
          <w:rFonts w:hint="eastAsia" w:cs="仿宋"/>
          <w:highlight w:val="none"/>
        </w:rPr>
        <w:t>（6）本项目为固定总价项目，合同价格包括完成项目所需的各种费用，且在合同执行过程中不作任何调整。</w:t>
      </w:r>
    </w:p>
    <w:p w14:paraId="1D73FF2C">
      <w:pPr>
        <w:shd w:val="clear"/>
        <w:tabs>
          <w:tab w:val="left" w:pos="945"/>
        </w:tabs>
        <w:spacing w:line="360" w:lineRule="auto"/>
        <w:ind w:left="1027" w:leftChars="228" w:hanging="480" w:hangingChars="200"/>
        <w:rPr>
          <w:rFonts w:cs="仿宋"/>
          <w:highlight w:val="none"/>
        </w:rPr>
      </w:pPr>
      <w:r>
        <w:rPr>
          <w:rFonts w:hint="eastAsia" w:cs="仿宋"/>
          <w:highlight w:val="none"/>
        </w:rPr>
        <w:t>（7）若投标人对某些项目未报价，则应认为已包括在总报价内。</w:t>
      </w:r>
    </w:p>
    <w:p w14:paraId="205E417D">
      <w:pPr>
        <w:shd w:val="clear"/>
        <w:tabs>
          <w:tab w:val="left" w:pos="945"/>
        </w:tabs>
        <w:spacing w:line="360" w:lineRule="auto"/>
        <w:ind w:firstLine="480" w:firstLineChars="200"/>
        <w:rPr>
          <w:rFonts w:cs="仿宋"/>
          <w:highlight w:val="none"/>
        </w:rPr>
      </w:pPr>
      <w:r>
        <w:rPr>
          <w:rFonts w:hint="eastAsia" w:cs="仿宋"/>
          <w:highlight w:val="none"/>
        </w:rPr>
        <w:t>（8）</w:t>
      </w:r>
      <w:r>
        <w:rPr>
          <w:rFonts w:cs="仿宋"/>
          <w:highlight w:val="none"/>
        </w:rPr>
        <w:t>报价</w:t>
      </w:r>
      <w:r>
        <w:rPr>
          <w:rFonts w:hint="eastAsia" w:cs="仿宋"/>
          <w:highlight w:val="none"/>
        </w:rPr>
        <w:t>为</w:t>
      </w:r>
      <w:r>
        <w:rPr>
          <w:rFonts w:cs="仿宋"/>
          <w:highlight w:val="none"/>
        </w:rPr>
        <w:t>含</w:t>
      </w:r>
      <w:r>
        <w:rPr>
          <w:rFonts w:hint="eastAsia" w:cs="仿宋"/>
          <w:highlight w:val="none"/>
          <w:u w:val="single"/>
          <w:lang w:val="en-US" w:eastAsia="zh-CN"/>
        </w:rPr>
        <w:t xml:space="preserve">   </w:t>
      </w:r>
      <w:r>
        <w:rPr>
          <w:rFonts w:cs="仿宋"/>
          <w:highlight w:val="none"/>
        </w:rPr>
        <w:t>%增值税专用发票价格</w:t>
      </w:r>
      <w:r>
        <w:rPr>
          <w:rFonts w:hint="eastAsia" w:cs="仿宋"/>
          <w:highlight w:val="none"/>
        </w:rPr>
        <w:t>（以人民币报价的方式）。</w:t>
      </w:r>
    </w:p>
    <w:p w14:paraId="7BB8F449">
      <w:pPr>
        <w:shd w:val="clear"/>
        <w:autoSpaceDE w:val="0"/>
        <w:autoSpaceDN w:val="0"/>
        <w:adjustRightInd w:val="0"/>
        <w:snapToGrid w:val="0"/>
        <w:spacing w:before="156" w:beforeLines="50" w:after="249" w:afterLines="80" w:line="360" w:lineRule="auto"/>
        <w:ind w:left="393" w:hanging="393" w:hangingChars="163"/>
        <w:rPr>
          <w:rFonts w:cs="仿宋"/>
          <w:b/>
          <w:highlight w:val="none"/>
        </w:rPr>
      </w:pPr>
    </w:p>
    <w:p w14:paraId="25BFD65A">
      <w:pPr>
        <w:shd w:val="clear"/>
        <w:autoSpaceDE w:val="0"/>
        <w:autoSpaceDN w:val="0"/>
        <w:adjustRightInd w:val="0"/>
        <w:snapToGrid w:val="0"/>
        <w:jc w:val="both"/>
        <w:rPr>
          <w:rFonts w:cs="仿宋"/>
          <w:b/>
          <w:highlight w:val="none"/>
        </w:rPr>
      </w:pPr>
      <w:r>
        <w:rPr>
          <w:rFonts w:hint="eastAsia" w:cs="仿宋"/>
          <w:b/>
          <w:highlight w:val="none"/>
        </w:rPr>
        <w:br w:type="page"/>
      </w:r>
      <w:r>
        <w:rPr>
          <w:rFonts w:hint="eastAsia" w:cs="仿宋"/>
          <w:b/>
          <w:highlight w:val="none"/>
        </w:rPr>
        <w:t>6.2</w:t>
      </w:r>
      <w:r>
        <w:rPr>
          <w:rFonts w:hint="eastAsia" w:cs="仿宋"/>
          <w:b/>
          <w:highlight w:val="none"/>
          <w:lang w:val="en-US" w:eastAsia="zh-CN"/>
        </w:rPr>
        <w:t>分项</w:t>
      </w:r>
      <w:r>
        <w:rPr>
          <w:rFonts w:hint="eastAsia" w:cs="仿宋"/>
          <w:b/>
          <w:highlight w:val="none"/>
        </w:rPr>
        <w:t xml:space="preserve">报价表            </w:t>
      </w:r>
    </w:p>
    <w:p w14:paraId="2F24DAFA">
      <w:pPr>
        <w:shd w:val="clear"/>
        <w:autoSpaceDE w:val="0"/>
        <w:autoSpaceDN w:val="0"/>
        <w:adjustRightInd w:val="0"/>
        <w:snapToGrid w:val="0"/>
        <w:ind w:left="393" w:hanging="393" w:hangingChars="163"/>
        <w:jc w:val="center"/>
        <w:rPr>
          <w:rFonts w:cs="仿宋"/>
          <w:highlight w:val="none"/>
        </w:rPr>
      </w:pPr>
      <w:r>
        <w:rPr>
          <w:rFonts w:hint="eastAsia" w:cs="仿宋"/>
          <w:b/>
          <w:highlight w:val="none"/>
          <w:lang w:val="en-US" w:eastAsia="zh-CN"/>
        </w:rPr>
        <w:t>分项</w:t>
      </w:r>
      <w:r>
        <w:rPr>
          <w:rFonts w:hint="eastAsia" w:cs="仿宋"/>
          <w:b/>
          <w:highlight w:val="none"/>
        </w:rPr>
        <w:t>报价表</w:t>
      </w:r>
    </w:p>
    <w:tbl>
      <w:tblPr>
        <w:tblStyle w:val="46"/>
        <w:tblpPr w:leftFromText="180" w:rightFromText="180" w:vertAnchor="text" w:horzAnchor="page" w:tblpXSpec="center" w:tblpY="105"/>
        <w:tblOverlap w:val="never"/>
        <w:tblW w:w="9775" w:type="dxa"/>
        <w:jc w:val="center"/>
        <w:tblLayout w:type="fixed"/>
        <w:tblCellMar>
          <w:top w:w="0" w:type="dxa"/>
          <w:left w:w="108" w:type="dxa"/>
          <w:bottom w:w="0" w:type="dxa"/>
          <w:right w:w="108" w:type="dxa"/>
        </w:tblCellMar>
      </w:tblPr>
      <w:tblGrid>
        <w:gridCol w:w="793"/>
        <w:gridCol w:w="752"/>
        <w:gridCol w:w="2405"/>
        <w:gridCol w:w="835"/>
        <w:gridCol w:w="974"/>
        <w:gridCol w:w="974"/>
        <w:gridCol w:w="1125"/>
        <w:gridCol w:w="1917"/>
      </w:tblGrid>
      <w:tr w14:paraId="39DF4A2E">
        <w:tblPrEx>
          <w:tblCellMar>
            <w:top w:w="0" w:type="dxa"/>
            <w:left w:w="108" w:type="dxa"/>
            <w:bottom w:w="0" w:type="dxa"/>
            <w:right w:w="108" w:type="dxa"/>
          </w:tblCellMar>
        </w:tblPrEx>
        <w:trPr>
          <w:trHeight w:val="59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14:paraId="1406566A">
            <w:pPr>
              <w:shd w:val="clear"/>
              <w:jc w:val="center"/>
              <w:rPr>
                <w:b/>
                <w:bCs/>
                <w:color w:val="000000"/>
                <w:highlight w:val="none"/>
              </w:rPr>
            </w:pPr>
            <w:r>
              <w:rPr>
                <w:rFonts w:hint="eastAsia"/>
                <w:b/>
                <w:bCs/>
                <w:color w:val="000000"/>
                <w:highlight w:val="none"/>
              </w:rPr>
              <w:t>种类</w:t>
            </w:r>
          </w:p>
        </w:tc>
        <w:tc>
          <w:tcPr>
            <w:tcW w:w="752" w:type="dxa"/>
            <w:tcBorders>
              <w:top w:val="single" w:color="auto" w:sz="4" w:space="0"/>
              <w:left w:val="single" w:color="auto" w:sz="4" w:space="0"/>
              <w:bottom w:val="single" w:color="auto" w:sz="4" w:space="0"/>
              <w:right w:val="single" w:color="auto" w:sz="4" w:space="0"/>
            </w:tcBorders>
            <w:noWrap/>
            <w:vAlign w:val="center"/>
          </w:tcPr>
          <w:p w14:paraId="557CB8E4">
            <w:pPr>
              <w:shd w:val="clear"/>
              <w:jc w:val="center"/>
              <w:rPr>
                <w:b/>
                <w:bCs/>
                <w:color w:val="000000"/>
                <w:highlight w:val="none"/>
              </w:rPr>
            </w:pPr>
            <w:r>
              <w:rPr>
                <w:rFonts w:hint="eastAsia"/>
                <w:b/>
                <w:bCs/>
                <w:color w:val="000000"/>
                <w:highlight w:val="none"/>
              </w:rPr>
              <w:t>序号</w:t>
            </w:r>
          </w:p>
        </w:tc>
        <w:tc>
          <w:tcPr>
            <w:tcW w:w="2405" w:type="dxa"/>
            <w:tcBorders>
              <w:top w:val="single" w:color="auto" w:sz="4" w:space="0"/>
              <w:left w:val="nil"/>
              <w:bottom w:val="single" w:color="auto" w:sz="4" w:space="0"/>
              <w:right w:val="single" w:color="auto" w:sz="4" w:space="0"/>
            </w:tcBorders>
            <w:noWrap/>
            <w:vAlign w:val="center"/>
          </w:tcPr>
          <w:p w14:paraId="1247633D">
            <w:pPr>
              <w:shd w:val="clear"/>
              <w:jc w:val="center"/>
              <w:rPr>
                <w:b/>
                <w:bCs/>
                <w:color w:val="000000"/>
                <w:highlight w:val="none"/>
              </w:rPr>
            </w:pPr>
            <w:r>
              <w:rPr>
                <w:rFonts w:hint="eastAsia"/>
                <w:b/>
                <w:bCs/>
                <w:color w:val="000000"/>
                <w:highlight w:val="none"/>
              </w:rPr>
              <w:t>维修保养项目名称</w:t>
            </w:r>
          </w:p>
        </w:tc>
        <w:tc>
          <w:tcPr>
            <w:tcW w:w="835" w:type="dxa"/>
            <w:tcBorders>
              <w:top w:val="single" w:color="auto" w:sz="4" w:space="0"/>
              <w:left w:val="nil"/>
              <w:bottom w:val="single" w:color="auto" w:sz="4" w:space="0"/>
              <w:right w:val="single" w:color="auto" w:sz="4" w:space="0"/>
            </w:tcBorders>
            <w:noWrap/>
            <w:vAlign w:val="center"/>
          </w:tcPr>
          <w:p w14:paraId="07B3FC1C">
            <w:pPr>
              <w:shd w:val="clear"/>
              <w:jc w:val="center"/>
              <w:rPr>
                <w:b/>
                <w:bCs/>
                <w:color w:val="000000"/>
                <w:highlight w:val="none"/>
              </w:rPr>
            </w:pPr>
            <w:r>
              <w:rPr>
                <w:rFonts w:hint="eastAsia"/>
                <w:b/>
                <w:bCs/>
                <w:color w:val="000000"/>
                <w:highlight w:val="none"/>
                <w:lang w:val="en-US" w:eastAsia="zh-CN"/>
              </w:rPr>
              <w:t>预估</w:t>
            </w:r>
            <w:r>
              <w:rPr>
                <w:rFonts w:hint="eastAsia"/>
                <w:b/>
                <w:bCs/>
                <w:color w:val="000000"/>
                <w:highlight w:val="none"/>
              </w:rPr>
              <w:t>工</w:t>
            </w:r>
            <w:r>
              <w:rPr>
                <w:rFonts w:hint="eastAsia"/>
                <w:b/>
                <w:bCs/>
                <w:color w:val="000000"/>
                <w:highlight w:val="none"/>
                <w:lang w:val="en-US" w:eastAsia="zh-CN"/>
              </w:rPr>
              <w:t>作</w:t>
            </w:r>
            <w:r>
              <w:rPr>
                <w:rFonts w:hint="eastAsia"/>
                <w:b/>
                <w:bCs/>
                <w:color w:val="000000"/>
                <w:highlight w:val="none"/>
              </w:rPr>
              <w:t>量</w:t>
            </w:r>
          </w:p>
        </w:tc>
        <w:tc>
          <w:tcPr>
            <w:tcW w:w="974" w:type="dxa"/>
            <w:tcBorders>
              <w:top w:val="single" w:color="auto" w:sz="4" w:space="0"/>
              <w:left w:val="nil"/>
              <w:bottom w:val="single" w:color="auto" w:sz="4" w:space="0"/>
              <w:right w:val="single" w:color="auto" w:sz="4" w:space="0"/>
            </w:tcBorders>
            <w:noWrap/>
            <w:vAlign w:val="center"/>
          </w:tcPr>
          <w:p w14:paraId="3B59C38F">
            <w:pPr>
              <w:shd w:val="clear"/>
              <w:jc w:val="center"/>
              <w:rPr>
                <w:b/>
                <w:bCs/>
                <w:color w:val="000000"/>
                <w:highlight w:val="none"/>
              </w:rPr>
            </w:pPr>
            <w:r>
              <w:rPr>
                <w:rFonts w:hint="eastAsia"/>
                <w:b/>
                <w:bCs/>
                <w:color w:val="000000"/>
                <w:highlight w:val="none"/>
              </w:rPr>
              <w:t>单位</w:t>
            </w:r>
          </w:p>
        </w:tc>
        <w:tc>
          <w:tcPr>
            <w:tcW w:w="974" w:type="dxa"/>
            <w:tcBorders>
              <w:top w:val="single" w:color="auto" w:sz="4" w:space="0"/>
              <w:left w:val="nil"/>
              <w:bottom w:val="single" w:color="auto" w:sz="4" w:space="0"/>
              <w:right w:val="single" w:color="auto" w:sz="4" w:space="0"/>
            </w:tcBorders>
            <w:noWrap/>
            <w:vAlign w:val="center"/>
          </w:tcPr>
          <w:p w14:paraId="366B8C9F">
            <w:pPr>
              <w:shd w:val="clear"/>
              <w:jc w:val="center"/>
              <w:rPr>
                <w:b/>
                <w:bCs/>
                <w:color w:val="000000"/>
                <w:highlight w:val="none"/>
              </w:rPr>
            </w:pPr>
            <w:r>
              <w:rPr>
                <w:rFonts w:hint="eastAsia"/>
                <w:b/>
                <w:bCs/>
                <w:color w:val="000000"/>
                <w:highlight w:val="none"/>
              </w:rPr>
              <w:t>单价</w:t>
            </w:r>
          </w:p>
        </w:tc>
        <w:tc>
          <w:tcPr>
            <w:tcW w:w="1125" w:type="dxa"/>
            <w:tcBorders>
              <w:top w:val="single" w:color="auto" w:sz="4" w:space="0"/>
              <w:left w:val="nil"/>
              <w:bottom w:val="single" w:color="auto" w:sz="4" w:space="0"/>
              <w:right w:val="single" w:color="auto" w:sz="4" w:space="0"/>
            </w:tcBorders>
            <w:noWrap/>
            <w:vAlign w:val="center"/>
          </w:tcPr>
          <w:p w14:paraId="519EE28A">
            <w:pPr>
              <w:shd w:val="clear"/>
              <w:jc w:val="center"/>
              <w:rPr>
                <w:b/>
                <w:bCs/>
                <w:color w:val="000000"/>
                <w:highlight w:val="none"/>
              </w:rPr>
            </w:pPr>
            <w:r>
              <w:rPr>
                <w:rFonts w:hint="eastAsia"/>
                <w:b/>
                <w:bCs/>
                <w:color w:val="000000"/>
                <w:highlight w:val="none"/>
              </w:rPr>
              <w:t>单项合计</w:t>
            </w:r>
          </w:p>
        </w:tc>
        <w:tc>
          <w:tcPr>
            <w:tcW w:w="1917" w:type="dxa"/>
            <w:tcBorders>
              <w:top w:val="single" w:color="auto" w:sz="4" w:space="0"/>
              <w:left w:val="nil"/>
              <w:bottom w:val="single" w:color="auto" w:sz="4" w:space="0"/>
              <w:right w:val="single" w:color="auto" w:sz="4" w:space="0"/>
            </w:tcBorders>
            <w:noWrap/>
            <w:vAlign w:val="center"/>
          </w:tcPr>
          <w:p w14:paraId="2914F0D0">
            <w:pPr>
              <w:shd w:val="clear"/>
              <w:jc w:val="center"/>
              <w:rPr>
                <w:rFonts w:hint="default" w:eastAsia="宋体"/>
                <w:b/>
                <w:bCs/>
                <w:color w:val="000000"/>
                <w:highlight w:val="none"/>
                <w:lang w:val="en-US" w:eastAsia="zh-CN"/>
              </w:rPr>
            </w:pPr>
            <w:r>
              <w:rPr>
                <w:rFonts w:hint="eastAsia"/>
                <w:b/>
                <w:bCs/>
                <w:color w:val="000000"/>
                <w:highlight w:val="none"/>
              </w:rPr>
              <w:t>交付期限</w:t>
            </w:r>
            <w:r>
              <w:rPr>
                <w:rFonts w:hint="eastAsia"/>
                <w:b/>
                <w:bCs/>
                <w:color w:val="000000"/>
                <w:highlight w:val="none"/>
                <w:lang w:val="en-US" w:eastAsia="zh-CN"/>
              </w:rPr>
              <w:t>及材料品牌</w:t>
            </w:r>
          </w:p>
        </w:tc>
      </w:tr>
      <w:tr w14:paraId="6EF1F2A1">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0F03738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1.5kW及以下电机</w:t>
            </w:r>
          </w:p>
          <w:p w14:paraId="71D3D5D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15125A4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210C5FA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636649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7429CE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2F5B1709">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F476811">
            <w:pPr>
              <w:shd w:val="clear"/>
              <w:jc w:val="center"/>
              <w:rPr>
                <w:color w:val="000000"/>
                <w:highlight w:val="none"/>
              </w:rPr>
            </w:pPr>
          </w:p>
        </w:tc>
        <w:tc>
          <w:tcPr>
            <w:tcW w:w="1917" w:type="dxa"/>
            <w:vMerge w:val="restart"/>
            <w:tcBorders>
              <w:top w:val="single" w:color="auto" w:sz="4" w:space="0"/>
              <w:left w:val="single" w:color="auto" w:sz="4" w:space="0"/>
              <w:right w:val="single" w:color="auto" w:sz="4" w:space="0"/>
            </w:tcBorders>
            <w:noWrap/>
            <w:vAlign w:val="center"/>
          </w:tcPr>
          <w:p w14:paraId="319F2EA6">
            <w:pPr>
              <w:widowControl/>
              <w:shd w:val="clear"/>
              <w:spacing w:line="442" w:lineRule="exact"/>
              <w:jc w:val="left"/>
              <w:rPr>
                <w:highlight w:val="none"/>
              </w:rPr>
            </w:pPr>
            <w:r>
              <w:rPr>
                <w:rFonts w:hint="eastAsia"/>
                <w:highlight w:val="none"/>
              </w:rPr>
              <w:t>出厂维修、保养交付期限：</w:t>
            </w:r>
          </w:p>
          <w:p w14:paraId="1CABDF74">
            <w:pPr>
              <w:widowControl/>
              <w:shd w:val="clear"/>
              <w:spacing w:line="442" w:lineRule="exact"/>
              <w:jc w:val="left"/>
              <w:rPr>
                <w:highlight w:val="none"/>
              </w:rPr>
            </w:pPr>
            <w:r>
              <w:rPr>
                <w:rFonts w:hint="eastAsia"/>
                <w:highlight w:val="none"/>
              </w:rPr>
              <w:t>1.出厂维修：往返时间不大于</w:t>
            </w:r>
            <w:r>
              <w:rPr>
                <w:rFonts w:hint="eastAsia"/>
                <w:highlight w:val="none"/>
                <w:u w:val="single"/>
                <w:lang w:val="en-US" w:eastAsia="zh-CN"/>
              </w:rPr>
              <w:t xml:space="preserve">  </w:t>
            </w:r>
            <w:r>
              <w:rPr>
                <w:rFonts w:hint="eastAsia"/>
                <w:highlight w:val="none"/>
              </w:rPr>
              <w:t>天</w:t>
            </w:r>
          </w:p>
          <w:p w14:paraId="7CE46F3C">
            <w:pPr>
              <w:shd w:val="clear"/>
              <w:jc w:val="left"/>
              <w:rPr>
                <w:rFonts w:hint="eastAsia"/>
                <w:highlight w:val="none"/>
              </w:rPr>
            </w:pPr>
            <w:r>
              <w:rPr>
                <w:rFonts w:hint="eastAsia"/>
                <w:highlight w:val="none"/>
              </w:rPr>
              <w:t>2.出厂保养：不大于</w:t>
            </w:r>
            <w:r>
              <w:rPr>
                <w:rFonts w:hint="eastAsia"/>
                <w:highlight w:val="none"/>
                <w:u w:val="single"/>
                <w:lang w:val="en-US" w:eastAsia="zh-CN"/>
              </w:rPr>
              <w:t xml:space="preserve">   </w:t>
            </w:r>
            <w:r>
              <w:rPr>
                <w:rFonts w:hint="eastAsia"/>
                <w:highlight w:val="none"/>
              </w:rPr>
              <w:t>天</w:t>
            </w:r>
          </w:p>
          <w:p w14:paraId="0209117F">
            <w:pPr>
              <w:pStyle w:val="2"/>
              <w:shd w:val="clear"/>
              <w:ind w:left="0" w:leftChars="0" w:firstLine="0" w:firstLineChars="0"/>
              <w:jc w:val="left"/>
              <w:rPr>
                <w:rFonts w:hint="eastAsia"/>
                <w:color w:val="000000"/>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3.所用</w:t>
            </w:r>
            <w:r>
              <w:rPr>
                <w:rFonts w:hint="eastAsia"/>
                <w:color w:val="000000"/>
                <w:highlight w:val="none"/>
                <w:lang w:val="en-US" w:eastAsia="zh-CN"/>
              </w:rPr>
              <w:t>绝缘材料品牌：</w:t>
            </w:r>
            <w:r>
              <w:rPr>
                <w:rFonts w:hint="eastAsia"/>
                <w:color w:val="000000"/>
                <w:highlight w:val="none"/>
                <w:u w:val="single"/>
                <w:lang w:val="en-US" w:eastAsia="zh-CN"/>
              </w:rPr>
              <w:t xml:space="preserve">       </w:t>
            </w:r>
          </w:p>
          <w:p w14:paraId="4DA1B921">
            <w:pPr>
              <w:pStyle w:val="2"/>
              <w:shd w:val="clear"/>
              <w:ind w:left="0" w:leftChars="0" w:firstLine="0" w:firstLineChars="0"/>
              <w:jc w:val="left"/>
              <w:rPr>
                <w:rFonts w:hint="default"/>
                <w:color w:val="000000"/>
                <w:highlight w:val="none"/>
                <w:u w:val="single"/>
                <w:lang w:val="en-US" w:eastAsia="zh-CN"/>
              </w:rPr>
            </w:pPr>
            <w:r>
              <w:rPr>
                <w:rFonts w:hint="eastAsia"/>
                <w:color w:val="000000"/>
                <w:highlight w:val="none"/>
                <w:lang w:val="en-US" w:eastAsia="zh-CN"/>
              </w:rPr>
              <w:t>4.所用轴承品牌：</w:t>
            </w:r>
            <w:r>
              <w:rPr>
                <w:rFonts w:hint="eastAsia"/>
                <w:color w:val="000000"/>
                <w:highlight w:val="none"/>
                <w:u w:val="single"/>
                <w:lang w:val="en-US" w:eastAsia="zh-CN"/>
              </w:rPr>
              <w:t xml:space="preserve">         </w:t>
            </w:r>
          </w:p>
        </w:tc>
      </w:tr>
      <w:tr w14:paraId="4B825F94">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6B613FEF">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C451BC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585B584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更换轴承</w:t>
            </w:r>
          </w:p>
        </w:tc>
        <w:tc>
          <w:tcPr>
            <w:tcW w:w="835" w:type="dxa"/>
            <w:tcBorders>
              <w:top w:val="single" w:color="auto" w:sz="4" w:space="0"/>
              <w:left w:val="single" w:color="auto" w:sz="4" w:space="0"/>
              <w:bottom w:val="single" w:color="auto" w:sz="4" w:space="0"/>
              <w:right w:val="single" w:color="auto" w:sz="4" w:space="0"/>
            </w:tcBorders>
            <w:noWrap/>
            <w:vAlign w:val="center"/>
          </w:tcPr>
          <w:p w14:paraId="6C1B8FB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6FB5F41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盘</w:t>
            </w:r>
          </w:p>
        </w:tc>
        <w:tc>
          <w:tcPr>
            <w:tcW w:w="974" w:type="dxa"/>
            <w:tcBorders>
              <w:top w:val="single" w:color="auto" w:sz="4" w:space="0"/>
              <w:left w:val="single" w:color="auto" w:sz="4" w:space="0"/>
              <w:bottom w:val="single" w:color="auto" w:sz="4" w:space="0"/>
              <w:right w:val="single" w:color="auto" w:sz="4" w:space="0"/>
            </w:tcBorders>
            <w:noWrap/>
            <w:vAlign w:val="center"/>
          </w:tcPr>
          <w:p w14:paraId="211E1B12">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BB3A9A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40C1480">
            <w:pPr>
              <w:shd w:val="clear"/>
              <w:jc w:val="center"/>
              <w:rPr>
                <w:color w:val="000000"/>
                <w:highlight w:val="none"/>
              </w:rPr>
            </w:pPr>
          </w:p>
        </w:tc>
      </w:tr>
      <w:tr w14:paraId="2332A1B1">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3AB5CBB">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471F43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753C242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63C45C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3C9A65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处</w:t>
            </w:r>
          </w:p>
        </w:tc>
        <w:tc>
          <w:tcPr>
            <w:tcW w:w="974" w:type="dxa"/>
            <w:tcBorders>
              <w:top w:val="single" w:color="auto" w:sz="4" w:space="0"/>
              <w:left w:val="single" w:color="auto" w:sz="4" w:space="0"/>
              <w:bottom w:val="single" w:color="auto" w:sz="4" w:space="0"/>
              <w:right w:val="single" w:color="auto" w:sz="4" w:space="0"/>
            </w:tcBorders>
            <w:noWrap/>
            <w:vAlign w:val="center"/>
          </w:tcPr>
          <w:p w14:paraId="1E615D2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4B0977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44321D7">
            <w:pPr>
              <w:shd w:val="clear"/>
              <w:jc w:val="center"/>
              <w:rPr>
                <w:color w:val="000000"/>
                <w:highlight w:val="none"/>
              </w:rPr>
            </w:pPr>
          </w:p>
        </w:tc>
      </w:tr>
      <w:tr w14:paraId="2991D18B">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04B39FB">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164E80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505EE6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3521F94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974" w:type="dxa"/>
            <w:tcBorders>
              <w:top w:val="single" w:color="auto" w:sz="4" w:space="0"/>
              <w:left w:val="single" w:color="auto" w:sz="4" w:space="0"/>
              <w:bottom w:val="single" w:color="auto" w:sz="4" w:space="0"/>
              <w:right w:val="single" w:color="auto" w:sz="4" w:space="0"/>
            </w:tcBorders>
            <w:noWrap/>
            <w:vAlign w:val="center"/>
          </w:tcPr>
          <w:p w14:paraId="728A81E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B764C1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FD8905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3970AB9">
            <w:pPr>
              <w:shd w:val="clear"/>
              <w:jc w:val="center"/>
              <w:rPr>
                <w:color w:val="000000"/>
                <w:highlight w:val="none"/>
              </w:rPr>
            </w:pPr>
          </w:p>
        </w:tc>
      </w:tr>
      <w:tr w14:paraId="473CF497">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046178D8">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7F52BB4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0E9B37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835" w:type="dxa"/>
            <w:tcBorders>
              <w:top w:val="single" w:color="auto" w:sz="4" w:space="0"/>
              <w:left w:val="single" w:color="auto" w:sz="4" w:space="0"/>
              <w:bottom w:val="single" w:color="auto" w:sz="4" w:space="0"/>
              <w:right w:val="single" w:color="auto" w:sz="4" w:space="0"/>
            </w:tcBorders>
            <w:noWrap/>
            <w:vAlign w:val="center"/>
          </w:tcPr>
          <w:p w14:paraId="295919E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974" w:type="dxa"/>
            <w:tcBorders>
              <w:top w:val="single" w:color="auto" w:sz="4" w:space="0"/>
              <w:left w:val="single" w:color="auto" w:sz="4" w:space="0"/>
              <w:bottom w:val="single" w:color="auto" w:sz="4" w:space="0"/>
              <w:right w:val="single" w:color="auto" w:sz="4" w:space="0"/>
            </w:tcBorders>
            <w:noWrap/>
            <w:vAlign w:val="center"/>
          </w:tcPr>
          <w:p w14:paraId="520457E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8EE8CA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4B915A8">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4ADC34E">
            <w:pPr>
              <w:shd w:val="clear"/>
              <w:jc w:val="center"/>
              <w:rPr>
                <w:color w:val="000000"/>
                <w:highlight w:val="none"/>
              </w:rPr>
            </w:pPr>
          </w:p>
        </w:tc>
      </w:tr>
      <w:tr w14:paraId="22CF4544">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00BF53F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B7A5AA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4948CB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6FCF2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543E4AF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1FB1F719">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57982D8">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6AA071D">
            <w:pPr>
              <w:shd w:val="clear"/>
              <w:jc w:val="center"/>
              <w:rPr>
                <w:color w:val="000000"/>
                <w:highlight w:val="none"/>
              </w:rPr>
            </w:pPr>
          </w:p>
        </w:tc>
      </w:tr>
      <w:tr w14:paraId="45A10911">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11E636C3">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4420ABE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2CFF26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835" w:type="dxa"/>
            <w:tcBorders>
              <w:top w:val="single" w:color="auto" w:sz="4" w:space="0"/>
              <w:left w:val="single" w:color="auto" w:sz="4" w:space="0"/>
              <w:bottom w:val="single" w:color="auto" w:sz="4" w:space="0"/>
              <w:right w:val="single" w:color="auto" w:sz="4" w:space="0"/>
            </w:tcBorders>
            <w:noWrap/>
            <w:vAlign w:val="center"/>
          </w:tcPr>
          <w:p w14:paraId="60ED15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974" w:type="dxa"/>
            <w:tcBorders>
              <w:top w:val="single" w:color="auto" w:sz="4" w:space="0"/>
              <w:left w:val="single" w:color="auto" w:sz="4" w:space="0"/>
              <w:bottom w:val="single" w:color="auto" w:sz="4" w:space="0"/>
              <w:right w:val="single" w:color="auto" w:sz="4" w:space="0"/>
            </w:tcBorders>
            <w:noWrap/>
            <w:vAlign w:val="center"/>
          </w:tcPr>
          <w:p w14:paraId="1B16F81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8BAAEC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E635EE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D2AE897">
            <w:pPr>
              <w:shd w:val="clear"/>
              <w:jc w:val="center"/>
              <w:rPr>
                <w:color w:val="000000"/>
                <w:highlight w:val="none"/>
              </w:rPr>
            </w:pPr>
          </w:p>
        </w:tc>
      </w:tr>
      <w:tr w14:paraId="3CBE86B0">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vAlign w:val="center"/>
          </w:tcPr>
          <w:p w14:paraId="7785485A">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ED020A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670C6F0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835" w:type="dxa"/>
            <w:tcBorders>
              <w:top w:val="single" w:color="auto" w:sz="4" w:space="0"/>
              <w:left w:val="single" w:color="auto" w:sz="4" w:space="0"/>
              <w:bottom w:val="single" w:color="auto" w:sz="4" w:space="0"/>
              <w:right w:val="single" w:color="auto" w:sz="4" w:space="0"/>
            </w:tcBorders>
            <w:noWrap/>
            <w:vAlign w:val="center"/>
          </w:tcPr>
          <w:p w14:paraId="40312B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33E150C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7D60370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3F22A08">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73B6140">
            <w:pPr>
              <w:shd w:val="clear"/>
              <w:jc w:val="center"/>
              <w:rPr>
                <w:color w:val="000000"/>
                <w:highlight w:val="none"/>
              </w:rPr>
            </w:pPr>
          </w:p>
        </w:tc>
      </w:tr>
      <w:tr w14:paraId="47EAA2B9">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7BA990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1.5kW以上低压电机</w:t>
            </w:r>
          </w:p>
          <w:p w14:paraId="002116C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28E4EC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4B07F15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16253C3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w:t>
            </w:r>
          </w:p>
        </w:tc>
        <w:tc>
          <w:tcPr>
            <w:tcW w:w="974" w:type="dxa"/>
            <w:tcBorders>
              <w:top w:val="single" w:color="auto" w:sz="4" w:space="0"/>
              <w:left w:val="single" w:color="auto" w:sz="4" w:space="0"/>
              <w:bottom w:val="single" w:color="auto" w:sz="4" w:space="0"/>
              <w:right w:val="single" w:color="auto" w:sz="4" w:space="0"/>
            </w:tcBorders>
            <w:noWrap/>
            <w:vAlign w:val="center"/>
          </w:tcPr>
          <w:p w14:paraId="7683660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32805B1">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08920A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7E23915">
            <w:pPr>
              <w:shd w:val="clear"/>
              <w:jc w:val="center"/>
              <w:rPr>
                <w:color w:val="000000"/>
                <w:highlight w:val="none"/>
              </w:rPr>
            </w:pPr>
          </w:p>
        </w:tc>
      </w:tr>
      <w:tr w14:paraId="745DCE3B">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3791BD7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E8B846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1828F1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换轴承（一盘）</w:t>
            </w:r>
          </w:p>
        </w:tc>
        <w:tc>
          <w:tcPr>
            <w:tcW w:w="835" w:type="dxa"/>
            <w:tcBorders>
              <w:top w:val="single" w:color="auto" w:sz="4" w:space="0"/>
              <w:left w:val="single" w:color="auto" w:sz="4" w:space="0"/>
              <w:bottom w:val="single" w:color="auto" w:sz="4" w:space="0"/>
              <w:right w:val="single" w:color="auto" w:sz="4" w:space="0"/>
            </w:tcBorders>
            <w:noWrap/>
            <w:vAlign w:val="center"/>
          </w:tcPr>
          <w:p w14:paraId="00E0564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2300</w:t>
            </w:r>
          </w:p>
        </w:tc>
        <w:tc>
          <w:tcPr>
            <w:tcW w:w="974" w:type="dxa"/>
            <w:tcBorders>
              <w:top w:val="single" w:color="auto" w:sz="4" w:space="0"/>
              <w:left w:val="single" w:color="auto" w:sz="4" w:space="0"/>
              <w:bottom w:val="single" w:color="auto" w:sz="4" w:space="0"/>
              <w:right w:val="single" w:color="auto" w:sz="4" w:space="0"/>
            </w:tcBorders>
            <w:noWrap/>
            <w:vAlign w:val="center"/>
          </w:tcPr>
          <w:p w14:paraId="74CA8A2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12CE2650">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0D2BED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2D2D9BE">
            <w:pPr>
              <w:shd w:val="clear"/>
              <w:jc w:val="center"/>
              <w:rPr>
                <w:color w:val="000000"/>
                <w:highlight w:val="none"/>
              </w:rPr>
            </w:pPr>
          </w:p>
        </w:tc>
      </w:tr>
      <w:tr w14:paraId="7F7C3C80">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41C61F6B">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450D14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2A9692A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835" w:type="dxa"/>
            <w:tcBorders>
              <w:top w:val="single" w:color="auto" w:sz="4" w:space="0"/>
              <w:left w:val="single" w:color="auto" w:sz="4" w:space="0"/>
              <w:bottom w:val="single" w:color="auto" w:sz="4" w:space="0"/>
              <w:right w:val="single" w:color="auto" w:sz="4" w:space="0"/>
            </w:tcBorders>
            <w:noWrap/>
            <w:vAlign w:val="center"/>
          </w:tcPr>
          <w:p w14:paraId="56B10AC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974" w:type="dxa"/>
            <w:tcBorders>
              <w:top w:val="single" w:color="auto" w:sz="4" w:space="0"/>
              <w:left w:val="single" w:color="auto" w:sz="4" w:space="0"/>
              <w:bottom w:val="single" w:color="auto" w:sz="4" w:space="0"/>
              <w:right w:val="single" w:color="auto" w:sz="4" w:space="0"/>
            </w:tcBorders>
            <w:noWrap/>
            <w:vAlign w:val="center"/>
          </w:tcPr>
          <w:p w14:paraId="2DE1C47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34B7FE4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163C40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0B2C089">
            <w:pPr>
              <w:shd w:val="clear"/>
              <w:jc w:val="center"/>
              <w:rPr>
                <w:color w:val="000000"/>
                <w:highlight w:val="none"/>
              </w:rPr>
            </w:pPr>
          </w:p>
        </w:tc>
      </w:tr>
      <w:tr w14:paraId="55F84D3D">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6548665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F7876F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612762A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0ED58D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974" w:type="dxa"/>
            <w:tcBorders>
              <w:top w:val="single" w:color="auto" w:sz="4" w:space="0"/>
              <w:left w:val="single" w:color="auto" w:sz="4" w:space="0"/>
              <w:bottom w:val="single" w:color="auto" w:sz="4" w:space="0"/>
              <w:right w:val="single" w:color="auto" w:sz="4" w:space="0"/>
            </w:tcBorders>
            <w:noWrap/>
            <w:vAlign w:val="center"/>
          </w:tcPr>
          <w:p w14:paraId="448B3B7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8A8D861">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C433EA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D2323C5">
            <w:pPr>
              <w:shd w:val="clear"/>
              <w:jc w:val="center"/>
              <w:rPr>
                <w:color w:val="000000"/>
                <w:highlight w:val="none"/>
              </w:rPr>
            </w:pPr>
          </w:p>
        </w:tc>
      </w:tr>
      <w:tr w14:paraId="67A4FAB7">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54E78F23">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F4AB4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0A865C1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接线端子更换</w:t>
            </w:r>
          </w:p>
        </w:tc>
        <w:tc>
          <w:tcPr>
            <w:tcW w:w="835" w:type="dxa"/>
            <w:tcBorders>
              <w:top w:val="single" w:color="auto" w:sz="4" w:space="0"/>
              <w:left w:val="single" w:color="auto" w:sz="4" w:space="0"/>
              <w:bottom w:val="single" w:color="auto" w:sz="4" w:space="0"/>
              <w:right w:val="single" w:color="auto" w:sz="4" w:space="0"/>
            </w:tcBorders>
            <w:noWrap/>
            <w:vAlign w:val="center"/>
          </w:tcPr>
          <w:p w14:paraId="1EAAB61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w:t>
            </w:r>
          </w:p>
        </w:tc>
        <w:tc>
          <w:tcPr>
            <w:tcW w:w="974" w:type="dxa"/>
            <w:tcBorders>
              <w:top w:val="single" w:color="auto" w:sz="4" w:space="0"/>
              <w:left w:val="single" w:color="auto" w:sz="4" w:space="0"/>
              <w:bottom w:val="single" w:color="auto" w:sz="4" w:space="0"/>
              <w:right w:val="single" w:color="auto" w:sz="4" w:space="0"/>
            </w:tcBorders>
            <w:noWrap/>
            <w:vAlign w:val="center"/>
          </w:tcPr>
          <w:p w14:paraId="3E8B8E3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62C19D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553E090">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C298273">
            <w:pPr>
              <w:shd w:val="clear"/>
              <w:jc w:val="center"/>
              <w:rPr>
                <w:color w:val="000000"/>
                <w:highlight w:val="none"/>
              </w:rPr>
            </w:pPr>
          </w:p>
        </w:tc>
      </w:tr>
      <w:tr w14:paraId="79CB5C05">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44D8665C">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A8773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2444A88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风扇罩修复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B5C402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w:t>
            </w:r>
          </w:p>
        </w:tc>
        <w:tc>
          <w:tcPr>
            <w:tcW w:w="974" w:type="dxa"/>
            <w:tcBorders>
              <w:top w:val="single" w:color="auto" w:sz="4" w:space="0"/>
              <w:left w:val="single" w:color="auto" w:sz="4" w:space="0"/>
              <w:bottom w:val="single" w:color="auto" w:sz="4" w:space="0"/>
              <w:right w:val="single" w:color="auto" w:sz="4" w:space="0"/>
            </w:tcBorders>
            <w:noWrap/>
            <w:vAlign w:val="center"/>
          </w:tcPr>
          <w:p w14:paraId="5701FD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EDA1B1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777AC8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3136C1F">
            <w:pPr>
              <w:shd w:val="clear"/>
              <w:jc w:val="center"/>
              <w:rPr>
                <w:color w:val="000000"/>
                <w:highlight w:val="none"/>
              </w:rPr>
            </w:pPr>
          </w:p>
        </w:tc>
      </w:tr>
      <w:tr w14:paraId="3E883DE2">
        <w:tblPrEx>
          <w:tblCellMar>
            <w:top w:w="0" w:type="dxa"/>
            <w:left w:w="108" w:type="dxa"/>
            <w:bottom w:w="0" w:type="dxa"/>
            <w:right w:w="108" w:type="dxa"/>
          </w:tblCellMar>
        </w:tblPrEx>
        <w:trPr>
          <w:trHeight w:val="412"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3F86E0F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471D438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1B7187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电机保养</w:t>
            </w:r>
          </w:p>
        </w:tc>
        <w:tc>
          <w:tcPr>
            <w:tcW w:w="835" w:type="dxa"/>
            <w:tcBorders>
              <w:top w:val="single" w:color="auto" w:sz="4" w:space="0"/>
              <w:left w:val="single" w:color="auto" w:sz="4" w:space="0"/>
              <w:bottom w:val="single" w:color="auto" w:sz="4" w:space="0"/>
              <w:right w:val="single" w:color="auto" w:sz="4" w:space="0"/>
            </w:tcBorders>
            <w:noWrap/>
            <w:vAlign w:val="center"/>
          </w:tcPr>
          <w:p w14:paraId="3C5C90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974" w:type="dxa"/>
            <w:tcBorders>
              <w:top w:val="single" w:color="auto" w:sz="4" w:space="0"/>
              <w:left w:val="single" w:color="auto" w:sz="4" w:space="0"/>
              <w:bottom w:val="single" w:color="auto" w:sz="4" w:space="0"/>
              <w:right w:val="single" w:color="auto" w:sz="4" w:space="0"/>
            </w:tcBorders>
            <w:noWrap/>
            <w:vAlign w:val="center"/>
          </w:tcPr>
          <w:p w14:paraId="28A306A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14BE4E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334666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3DBB743">
            <w:pPr>
              <w:shd w:val="clear"/>
              <w:jc w:val="center"/>
              <w:rPr>
                <w:color w:val="000000"/>
                <w:highlight w:val="none"/>
              </w:rPr>
            </w:pPr>
          </w:p>
        </w:tc>
      </w:tr>
      <w:tr w14:paraId="779C9A2A">
        <w:tblPrEx>
          <w:tblCellMar>
            <w:top w:w="0" w:type="dxa"/>
            <w:left w:w="108" w:type="dxa"/>
            <w:bottom w:w="0" w:type="dxa"/>
            <w:right w:w="108" w:type="dxa"/>
          </w:tblCellMar>
        </w:tblPrEx>
        <w:trPr>
          <w:trHeight w:val="545" w:hRule="atLeast"/>
          <w:jc w:val="center"/>
        </w:trPr>
        <w:tc>
          <w:tcPr>
            <w:tcW w:w="793" w:type="dxa"/>
            <w:vMerge w:val="continue"/>
            <w:tcBorders>
              <w:top w:val="single" w:color="auto" w:sz="4" w:space="0"/>
              <w:left w:val="single" w:color="auto" w:sz="4" w:space="0"/>
              <w:bottom w:val="single" w:color="auto" w:sz="4" w:space="0"/>
              <w:right w:val="single" w:color="auto" w:sz="4" w:space="0"/>
            </w:tcBorders>
            <w:noWrap/>
          </w:tcPr>
          <w:p w14:paraId="68D2716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CA7D7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2E834A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更换风叶</w:t>
            </w:r>
          </w:p>
        </w:tc>
        <w:tc>
          <w:tcPr>
            <w:tcW w:w="835" w:type="dxa"/>
            <w:tcBorders>
              <w:top w:val="single" w:color="auto" w:sz="4" w:space="0"/>
              <w:left w:val="single" w:color="auto" w:sz="4" w:space="0"/>
              <w:bottom w:val="single" w:color="auto" w:sz="4" w:space="0"/>
              <w:right w:val="single" w:color="auto" w:sz="4" w:space="0"/>
            </w:tcBorders>
            <w:noWrap/>
            <w:vAlign w:val="center"/>
          </w:tcPr>
          <w:p w14:paraId="5D995A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315</w:t>
            </w:r>
          </w:p>
        </w:tc>
        <w:tc>
          <w:tcPr>
            <w:tcW w:w="974" w:type="dxa"/>
            <w:tcBorders>
              <w:top w:val="single" w:color="auto" w:sz="4" w:space="0"/>
              <w:left w:val="single" w:color="auto" w:sz="4" w:space="0"/>
              <w:bottom w:val="single" w:color="auto" w:sz="4" w:space="0"/>
              <w:right w:val="single" w:color="auto" w:sz="4" w:space="0"/>
            </w:tcBorders>
            <w:noWrap/>
            <w:vAlign w:val="center"/>
          </w:tcPr>
          <w:p w14:paraId="353563B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F5E234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390AA80">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429404E">
            <w:pPr>
              <w:shd w:val="clear"/>
              <w:jc w:val="center"/>
              <w:rPr>
                <w:color w:val="000000"/>
                <w:highlight w:val="none"/>
              </w:rPr>
            </w:pPr>
          </w:p>
        </w:tc>
      </w:tr>
      <w:tr w14:paraId="75E2F462">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right w:val="single" w:color="auto" w:sz="4" w:space="0"/>
            </w:tcBorders>
            <w:noWrap/>
            <w:vAlign w:val="center"/>
          </w:tcPr>
          <w:p w14:paraId="1196CCD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变频电机用冷却风机</w:t>
            </w:r>
          </w:p>
          <w:p w14:paraId="571E90DF">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A94111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17BE0B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G-80变频电机冷却风机维修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7B700B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2BE9280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7FDDACB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7DC9016">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6C285C2">
            <w:pPr>
              <w:shd w:val="clear"/>
              <w:jc w:val="center"/>
              <w:rPr>
                <w:color w:val="000000"/>
                <w:highlight w:val="none"/>
              </w:rPr>
            </w:pPr>
          </w:p>
        </w:tc>
      </w:tr>
      <w:tr w14:paraId="27841F47">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FC7DE21">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CEF91D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339E5BB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G-90变频电机冷却风机维修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667D821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43D2BA8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C3C6BC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777711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C6E50B5">
            <w:pPr>
              <w:shd w:val="clear"/>
              <w:jc w:val="center"/>
              <w:rPr>
                <w:color w:val="000000"/>
                <w:highlight w:val="none"/>
              </w:rPr>
            </w:pPr>
          </w:p>
        </w:tc>
      </w:tr>
      <w:tr w14:paraId="46C4422B">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6CD60B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395C6B1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5B30F95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G-100变频电机冷却风机维修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19821E6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6DC7D38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77B4433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0D0CDA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E42E027">
            <w:pPr>
              <w:shd w:val="clear"/>
              <w:jc w:val="center"/>
              <w:rPr>
                <w:color w:val="000000"/>
                <w:highlight w:val="none"/>
              </w:rPr>
            </w:pPr>
          </w:p>
        </w:tc>
      </w:tr>
      <w:tr w14:paraId="7E69C7F5">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7AA0453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20C657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3BA478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G-112变频电机冷却风机维修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9D08B5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192F70F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1867DF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9A50DD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E2E4488">
            <w:pPr>
              <w:shd w:val="clear"/>
              <w:jc w:val="center"/>
              <w:rPr>
                <w:color w:val="000000"/>
                <w:highlight w:val="none"/>
              </w:rPr>
            </w:pPr>
          </w:p>
        </w:tc>
      </w:tr>
      <w:tr w14:paraId="1539878C">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8B81CB4">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42D38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09BDF8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G-132变频电机冷却风机维修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3015026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330E00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357C63A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F89C14B">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9AF3CDC">
            <w:pPr>
              <w:shd w:val="clear"/>
              <w:jc w:val="center"/>
              <w:rPr>
                <w:color w:val="000000"/>
                <w:highlight w:val="none"/>
              </w:rPr>
            </w:pPr>
          </w:p>
        </w:tc>
      </w:tr>
      <w:tr w14:paraId="234CE869">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095BE32">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8BB612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220A772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G-160变频电机冷却风机维修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0AAB06E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2A3CA71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9D0958B">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58F40E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03B6182">
            <w:pPr>
              <w:shd w:val="clear"/>
              <w:jc w:val="center"/>
              <w:rPr>
                <w:color w:val="000000"/>
                <w:highlight w:val="none"/>
              </w:rPr>
            </w:pPr>
          </w:p>
        </w:tc>
      </w:tr>
      <w:tr w14:paraId="66444E3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77A4D66D">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BFA978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6D887D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G-180变频电机冷却风机维修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1CEAF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3F3E71C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86C4DF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446640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57A23FB">
            <w:pPr>
              <w:shd w:val="clear"/>
              <w:jc w:val="center"/>
              <w:rPr>
                <w:color w:val="000000"/>
                <w:highlight w:val="none"/>
              </w:rPr>
            </w:pPr>
          </w:p>
        </w:tc>
      </w:tr>
      <w:tr w14:paraId="0B97A0E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6BF8A4D6">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EAD634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7437CB7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G-200变频电机冷却风机维修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CC5879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2929C55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EA8040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07FF76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4620D10">
            <w:pPr>
              <w:shd w:val="clear"/>
              <w:jc w:val="center"/>
              <w:rPr>
                <w:color w:val="000000"/>
                <w:highlight w:val="none"/>
              </w:rPr>
            </w:pPr>
          </w:p>
        </w:tc>
      </w:tr>
      <w:tr w14:paraId="7E52E1D2">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69B3DA0A">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235FB1C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2405" w:type="dxa"/>
            <w:tcBorders>
              <w:top w:val="nil"/>
              <w:left w:val="nil"/>
              <w:bottom w:val="single" w:color="auto" w:sz="4" w:space="0"/>
              <w:right w:val="single" w:color="auto" w:sz="4" w:space="0"/>
            </w:tcBorders>
            <w:noWrap/>
            <w:vAlign w:val="center"/>
          </w:tcPr>
          <w:p w14:paraId="330D83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G-225变频电机冷却风机维修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13E904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51A349F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428E79F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F6B0986">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E01F22C">
            <w:pPr>
              <w:shd w:val="clear"/>
              <w:jc w:val="center"/>
              <w:rPr>
                <w:color w:val="000000"/>
                <w:highlight w:val="none"/>
              </w:rPr>
            </w:pPr>
          </w:p>
        </w:tc>
      </w:tr>
      <w:tr w14:paraId="75FDD58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E11AC3E">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58E4A92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2405" w:type="dxa"/>
            <w:tcBorders>
              <w:top w:val="nil"/>
              <w:left w:val="nil"/>
              <w:bottom w:val="single" w:color="auto" w:sz="4" w:space="0"/>
              <w:right w:val="single" w:color="auto" w:sz="4" w:space="0"/>
            </w:tcBorders>
            <w:noWrap/>
            <w:vAlign w:val="center"/>
          </w:tcPr>
          <w:p w14:paraId="588D142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G-250变频电机冷却风机维修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591202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3C7F3F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6ACEEF1F">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B087FB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AC28853">
            <w:pPr>
              <w:shd w:val="clear"/>
              <w:jc w:val="center"/>
              <w:rPr>
                <w:color w:val="000000"/>
                <w:highlight w:val="none"/>
              </w:rPr>
            </w:pPr>
          </w:p>
        </w:tc>
      </w:tr>
      <w:tr w14:paraId="654C6BA4">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72830DF">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6643989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2405" w:type="dxa"/>
            <w:tcBorders>
              <w:top w:val="nil"/>
              <w:left w:val="nil"/>
              <w:bottom w:val="single" w:color="auto" w:sz="4" w:space="0"/>
              <w:right w:val="single" w:color="auto" w:sz="4" w:space="0"/>
            </w:tcBorders>
            <w:noWrap/>
            <w:vAlign w:val="center"/>
          </w:tcPr>
          <w:p w14:paraId="622985E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G-280变频电机冷却风机维修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7C3508B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11C0BAD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6A863CA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DE3B4F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8439AC">
            <w:pPr>
              <w:shd w:val="clear"/>
              <w:jc w:val="center"/>
              <w:rPr>
                <w:color w:val="000000"/>
                <w:highlight w:val="none"/>
              </w:rPr>
            </w:pPr>
          </w:p>
        </w:tc>
      </w:tr>
      <w:tr w14:paraId="5E6C6679">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bottom w:val="single" w:color="auto" w:sz="4" w:space="0"/>
              <w:right w:val="single" w:color="auto" w:sz="4" w:space="0"/>
            </w:tcBorders>
            <w:noWrap/>
          </w:tcPr>
          <w:p w14:paraId="31C2ACF5">
            <w:pPr>
              <w:shd w:val="clear"/>
              <w:jc w:val="center"/>
              <w:rPr>
                <w:color w:val="000000"/>
                <w:highlight w:val="none"/>
              </w:rPr>
            </w:pPr>
          </w:p>
        </w:tc>
        <w:tc>
          <w:tcPr>
            <w:tcW w:w="752" w:type="dxa"/>
            <w:tcBorders>
              <w:top w:val="nil"/>
              <w:left w:val="single" w:color="auto" w:sz="4" w:space="0"/>
              <w:bottom w:val="single" w:color="auto" w:sz="4" w:space="0"/>
              <w:right w:val="single" w:color="auto" w:sz="4" w:space="0"/>
            </w:tcBorders>
            <w:noWrap/>
            <w:vAlign w:val="center"/>
          </w:tcPr>
          <w:p w14:paraId="0E8859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2405" w:type="dxa"/>
            <w:tcBorders>
              <w:top w:val="nil"/>
              <w:left w:val="nil"/>
              <w:bottom w:val="single" w:color="auto" w:sz="4" w:space="0"/>
              <w:right w:val="single" w:color="auto" w:sz="4" w:space="0"/>
            </w:tcBorders>
            <w:noWrap/>
            <w:vAlign w:val="center"/>
          </w:tcPr>
          <w:p w14:paraId="03DB61F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G-315变频电机冷却风机维修</w:t>
            </w:r>
          </w:p>
        </w:tc>
        <w:tc>
          <w:tcPr>
            <w:tcW w:w="835" w:type="dxa"/>
            <w:tcBorders>
              <w:top w:val="single" w:color="auto" w:sz="4" w:space="0"/>
              <w:left w:val="single" w:color="auto" w:sz="4" w:space="0"/>
              <w:bottom w:val="single" w:color="auto" w:sz="4" w:space="0"/>
              <w:right w:val="single" w:color="auto" w:sz="4" w:space="0"/>
            </w:tcBorders>
            <w:noWrap/>
            <w:vAlign w:val="center"/>
          </w:tcPr>
          <w:p w14:paraId="6F1E8BC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974" w:type="dxa"/>
            <w:tcBorders>
              <w:top w:val="single" w:color="auto" w:sz="4" w:space="0"/>
              <w:left w:val="single" w:color="auto" w:sz="4" w:space="0"/>
              <w:bottom w:val="single" w:color="auto" w:sz="4" w:space="0"/>
              <w:right w:val="single" w:color="auto" w:sz="4" w:space="0"/>
            </w:tcBorders>
            <w:noWrap/>
            <w:vAlign w:val="center"/>
          </w:tcPr>
          <w:p w14:paraId="013830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974" w:type="dxa"/>
            <w:tcBorders>
              <w:top w:val="single" w:color="auto" w:sz="4" w:space="0"/>
              <w:left w:val="single" w:color="auto" w:sz="4" w:space="0"/>
              <w:bottom w:val="single" w:color="auto" w:sz="4" w:space="0"/>
              <w:right w:val="single" w:color="auto" w:sz="4" w:space="0"/>
            </w:tcBorders>
            <w:noWrap/>
            <w:vAlign w:val="center"/>
          </w:tcPr>
          <w:p w14:paraId="5FF10B6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8ECD1C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52E3C8B">
            <w:pPr>
              <w:shd w:val="clear"/>
              <w:jc w:val="center"/>
              <w:rPr>
                <w:color w:val="000000"/>
                <w:highlight w:val="none"/>
              </w:rPr>
            </w:pPr>
          </w:p>
        </w:tc>
      </w:tr>
      <w:tr w14:paraId="5F0FBAEB">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bottom w:val="single" w:color="auto" w:sz="4" w:space="0"/>
              <w:right w:val="single" w:color="auto" w:sz="4" w:space="0"/>
            </w:tcBorders>
            <w:noWrap/>
            <w:vAlign w:val="center"/>
          </w:tcPr>
          <w:p w14:paraId="6B679CC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振动电机</w:t>
            </w:r>
          </w:p>
          <w:p w14:paraId="34B19622">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B93C1F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6184972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2C30DF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974" w:type="dxa"/>
            <w:tcBorders>
              <w:top w:val="single" w:color="auto" w:sz="4" w:space="0"/>
              <w:left w:val="single" w:color="auto" w:sz="4" w:space="0"/>
              <w:bottom w:val="single" w:color="auto" w:sz="4" w:space="0"/>
              <w:right w:val="single" w:color="auto" w:sz="4" w:space="0"/>
            </w:tcBorders>
            <w:noWrap/>
            <w:vAlign w:val="center"/>
          </w:tcPr>
          <w:p w14:paraId="4DCBF5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330974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E9AEBA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A34A589">
            <w:pPr>
              <w:shd w:val="clear"/>
              <w:jc w:val="center"/>
              <w:rPr>
                <w:color w:val="000000"/>
                <w:highlight w:val="none"/>
              </w:rPr>
            </w:pPr>
          </w:p>
        </w:tc>
      </w:tr>
      <w:tr w14:paraId="1485A17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E98D3F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17E570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07ACB2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11065C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w:t>
            </w:r>
          </w:p>
        </w:tc>
        <w:tc>
          <w:tcPr>
            <w:tcW w:w="974" w:type="dxa"/>
            <w:tcBorders>
              <w:top w:val="single" w:color="auto" w:sz="4" w:space="0"/>
              <w:left w:val="single" w:color="auto" w:sz="4" w:space="0"/>
              <w:bottom w:val="single" w:color="auto" w:sz="4" w:space="0"/>
              <w:right w:val="single" w:color="auto" w:sz="4" w:space="0"/>
            </w:tcBorders>
            <w:noWrap/>
            <w:vAlign w:val="center"/>
          </w:tcPr>
          <w:p w14:paraId="004939B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EBC86F9">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32A0A0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9EBFE1C">
            <w:pPr>
              <w:shd w:val="clear"/>
              <w:jc w:val="center"/>
              <w:rPr>
                <w:color w:val="000000"/>
                <w:highlight w:val="none"/>
              </w:rPr>
            </w:pPr>
          </w:p>
        </w:tc>
      </w:tr>
      <w:tr w14:paraId="5FAA875B">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293E075">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1EC3D9C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59768B3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端盖修复（单侧）</w:t>
            </w:r>
          </w:p>
        </w:tc>
        <w:tc>
          <w:tcPr>
            <w:tcW w:w="835" w:type="dxa"/>
            <w:tcBorders>
              <w:top w:val="single" w:color="auto" w:sz="4" w:space="0"/>
              <w:left w:val="single" w:color="auto" w:sz="4" w:space="0"/>
              <w:bottom w:val="single" w:color="auto" w:sz="4" w:space="0"/>
              <w:right w:val="single" w:color="auto" w:sz="4" w:space="0"/>
            </w:tcBorders>
            <w:noWrap/>
            <w:vAlign w:val="center"/>
          </w:tcPr>
          <w:p w14:paraId="303603C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08764C4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9CDCC1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B9DA9E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AB4A391">
            <w:pPr>
              <w:shd w:val="clear"/>
              <w:jc w:val="center"/>
              <w:rPr>
                <w:color w:val="000000"/>
                <w:highlight w:val="none"/>
              </w:rPr>
            </w:pPr>
          </w:p>
        </w:tc>
      </w:tr>
      <w:tr w14:paraId="07D0E65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B4DB7BE">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F3D03A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3BA5175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262F777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0537CCB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6A69376A">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F40F6E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6E59786">
            <w:pPr>
              <w:shd w:val="clear"/>
              <w:jc w:val="center"/>
              <w:rPr>
                <w:color w:val="000000"/>
                <w:highlight w:val="none"/>
              </w:rPr>
            </w:pPr>
          </w:p>
        </w:tc>
      </w:tr>
      <w:tr w14:paraId="4D2DFAC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16AD544">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2769B4F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2583EBF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更换接线端子和外引线</w:t>
            </w:r>
          </w:p>
        </w:tc>
        <w:tc>
          <w:tcPr>
            <w:tcW w:w="835" w:type="dxa"/>
            <w:tcBorders>
              <w:top w:val="single" w:color="auto" w:sz="4" w:space="0"/>
              <w:left w:val="single" w:color="auto" w:sz="4" w:space="0"/>
              <w:bottom w:val="single" w:color="auto" w:sz="4" w:space="0"/>
              <w:right w:val="single" w:color="auto" w:sz="4" w:space="0"/>
            </w:tcBorders>
            <w:noWrap/>
            <w:vAlign w:val="center"/>
          </w:tcPr>
          <w:p w14:paraId="4E6DEA9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0AC5247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A0650E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0FE9B6B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6EA2DA7">
            <w:pPr>
              <w:shd w:val="clear"/>
              <w:jc w:val="center"/>
              <w:rPr>
                <w:color w:val="000000"/>
                <w:highlight w:val="none"/>
              </w:rPr>
            </w:pPr>
          </w:p>
        </w:tc>
      </w:tr>
      <w:tr w14:paraId="7CA209AF">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6130A282">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CEDCD0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5211BAB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防护罩修复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1E2C791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3BEEF2E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023FE0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79A495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5EA2E10E">
            <w:pPr>
              <w:shd w:val="clear"/>
              <w:jc w:val="center"/>
              <w:rPr>
                <w:color w:val="000000"/>
                <w:highlight w:val="none"/>
              </w:rPr>
            </w:pPr>
          </w:p>
        </w:tc>
      </w:tr>
      <w:tr w14:paraId="2FB1314F">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67DA11D">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175636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4D615CB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修补振动块</w:t>
            </w:r>
          </w:p>
        </w:tc>
        <w:tc>
          <w:tcPr>
            <w:tcW w:w="835" w:type="dxa"/>
            <w:tcBorders>
              <w:top w:val="single" w:color="auto" w:sz="4" w:space="0"/>
              <w:left w:val="single" w:color="auto" w:sz="4" w:space="0"/>
              <w:bottom w:val="single" w:color="auto" w:sz="4" w:space="0"/>
              <w:right w:val="single" w:color="auto" w:sz="4" w:space="0"/>
            </w:tcBorders>
            <w:noWrap/>
            <w:vAlign w:val="center"/>
          </w:tcPr>
          <w:p w14:paraId="1926BDC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6EA9570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1A973EC6">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577D9B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3F02CEF1">
            <w:pPr>
              <w:shd w:val="clear"/>
              <w:jc w:val="center"/>
              <w:rPr>
                <w:color w:val="000000"/>
                <w:highlight w:val="none"/>
              </w:rPr>
            </w:pPr>
          </w:p>
        </w:tc>
      </w:tr>
      <w:tr w14:paraId="30699B24">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right w:val="single" w:color="auto" w:sz="4" w:space="0"/>
            </w:tcBorders>
            <w:noWrap/>
            <w:vAlign w:val="center"/>
          </w:tcPr>
          <w:p w14:paraId="1F2E90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普通潜水泵（单叶轮）</w:t>
            </w:r>
          </w:p>
        </w:tc>
        <w:tc>
          <w:tcPr>
            <w:tcW w:w="752" w:type="dxa"/>
            <w:tcBorders>
              <w:top w:val="single" w:color="auto" w:sz="4" w:space="0"/>
              <w:left w:val="single" w:color="auto" w:sz="4" w:space="0"/>
              <w:bottom w:val="single" w:color="auto" w:sz="4" w:space="0"/>
              <w:right w:val="single" w:color="auto" w:sz="4" w:space="0"/>
            </w:tcBorders>
            <w:noWrap/>
            <w:vAlign w:val="center"/>
          </w:tcPr>
          <w:p w14:paraId="244F6B7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0319798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1AAD3FB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5F0BA3D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587C39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CAAE8D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C598DB8">
            <w:pPr>
              <w:shd w:val="clear"/>
              <w:jc w:val="center"/>
              <w:rPr>
                <w:color w:val="000000"/>
                <w:highlight w:val="none"/>
              </w:rPr>
            </w:pPr>
          </w:p>
        </w:tc>
      </w:tr>
      <w:tr w14:paraId="09FD90EB">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5449898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66E1866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0018EA0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换轴承（单个）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757A56D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22685EF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9569E2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34635CB">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2DD94DF">
            <w:pPr>
              <w:shd w:val="clear"/>
              <w:jc w:val="center"/>
              <w:rPr>
                <w:color w:val="000000"/>
                <w:highlight w:val="none"/>
              </w:rPr>
            </w:pPr>
          </w:p>
        </w:tc>
      </w:tr>
      <w:tr w14:paraId="1796C53C">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B78AE0B">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878855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048B132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轴承端盖修复（单侧）</w:t>
            </w:r>
          </w:p>
        </w:tc>
        <w:tc>
          <w:tcPr>
            <w:tcW w:w="835" w:type="dxa"/>
            <w:tcBorders>
              <w:top w:val="single" w:color="auto" w:sz="4" w:space="0"/>
              <w:left w:val="single" w:color="auto" w:sz="4" w:space="0"/>
              <w:bottom w:val="single" w:color="auto" w:sz="4" w:space="0"/>
              <w:right w:val="single" w:color="auto" w:sz="4" w:space="0"/>
            </w:tcBorders>
            <w:noWrap/>
            <w:vAlign w:val="center"/>
          </w:tcPr>
          <w:p w14:paraId="2CA888E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46C203B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DE552C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A851607">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A0DE0EE">
            <w:pPr>
              <w:shd w:val="clear"/>
              <w:jc w:val="center"/>
              <w:rPr>
                <w:color w:val="000000"/>
                <w:highlight w:val="none"/>
              </w:rPr>
            </w:pPr>
          </w:p>
        </w:tc>
      </w:tr>
      <w:tr w14:paraId="6ECBDD03">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424F046">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D20342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4E3A9DA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转子修复</w:t>
            </w:r>
          </w:p>
        </w:tc>
        <w:tc>
          <w:tcPr>
            <w:tcW w:w="835" w:type="dxa"/>
            <w:tcBorders>
              <w:top w:val="single" w:color="auto" w:sz="4" w:space="0"/>
              <w:left w:val="single" w:color="auto" w:sz="4" w:space="0"/>
              <w:bottom w:val="single" w:color="auto" w:sz="4" w:space="0"/>
              <w:right w:val="single" w:color="auto" w:sz="4" w:space="0"/>
            </w:tcBorders>
            <w:noWrap/>
            <w:vAlign w:val="center"/>
          </w:tcPr>
          <w:p w14:paraId="601113C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58BEE7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88DC577">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73EBB05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CF6FF26">
            <w:pPr>
              <w:shd w:val="clear"/>
              <w:jc w:val="center"/>
              <w:rPr>
                <w:color w:val="000000"/>
                <w:highlight w:val="none"/>
              </w:rPr>
            </w:pPr>
          </w:p>
        </w:tc>
      </w:tr>
      <w:tr w14:paraId="7FE5E397">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0B01B8AC">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0EF8A89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4DA44B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修复外引线</w:t>
            </w:r>
          </w:p>
        </w:tc>
        <w:tc>
          <w:tcPr>
            <w:tcW w:w="835" w:type="dxa"/>
            <w:tcBorders>
              <w:top w:val="single" w:color="auto" w:sz="4" w:space="0"/>
              <w:left w:val="single" w:color="auto" w:sz="4" w:space="0"/>
              <w:bottom w:val="single" w:color="auto" w:sz="4" w:space="0"/>
              <w:right w:val="single" w:color="auto" w:sz="4" w:space="0"/>
            </w:tcBorders>
            <w:noWrap/>
            <w:vAlign w:val="center"/>
          </w:tcPr>
          <w:p w14:paraId="76F0643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29FBA63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21F33E3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789232A">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0EA7A4">
            <w:pPr>
              <w:shd w:val="clear"/>
              <w:jc w:val="center"/>
              <w:rPr>
                <w:color w:val="000000"/>
                <w:highlight w:val="none"/>
              </w:rPr>
            </w:pPr>
          </w:p>
        </w:tc>
      </w:tr>
      <w:tr w14:paraId="220C347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F06A3A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4C98925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6EE209C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w:t>
            </w:r>
          </w:p>
        </w:tc>
        <w:tc>
          <w:tcPr>
            <w:tcW w:w="835" w:type="dxa"/>
            <w:tcBorders>
              <w:top w:val="single" w:color="auto" w:sz="4" w:space="0"/>
              <w:left w:val="single" w:color="auto" w:sz="4" w:space="0"/>
              <w:bottom w:val="single" w:color="auto" w:sz="4" w:space="0"/>
              <w:right w:val="single" w:color="auto" w:sz="4" w:space="0"/>
            </w:tcBorders>
            <w:noWrap/>
            <w:vAlign w:val="center"/>
          </w:tcPr>
          <w:p w14:paraId="7FF5417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20B575F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7E4EA20">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40E5BA06">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AAA92F6">
            <w:pPr>
              <w:shd w:val="clear"/>
              <w:jc w:val="center"/>
              <w:rPr>
                <w:color w:val="000000"/>
                <w:highlight w:val="none"/>
              </w:rPr>
            </w:pPr>
          </w:p>
        </w:tc>
      </w:tr>
      <w:tr w14:paraId="6E98F3F9">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3DE99F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24EA0E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1DBD1D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更换叶轮防护罩</w:t>
            </w:r>
          </w:p>
        </w:tc>
        <w:tc>
          <w:tcPr>
            <w:tcW w:w="835" w:type="dxa"/>
            <w:tcBorders>
              <w:top w:val="single" w:color="auto" w:sz="4" w:space="0"/>
              <w:left w:val="single" w:color="auto" w:sz="4" w:space="0"/>
              <w:bottom w:val="single" w:color="auto" w:sz="4" w:space="0"/>
              <w:right w:val="single" w:color="auto" w:sz="4" w:space="0"/>
            </w:tcBorders>
            <w:noWrap/>
            <w:vAlign w:val="center"/>
          </w:tcPr>
          <w:p w14:paraId="70396D4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74" w:type="dxa"/>
            <w:tcBorders>
              <w:top w:val="single" w:color="auto" w:sz="4" w:space="0"/>
              <w:left w:val="single" w:color="auto" w:sz="4" w:space="0"/>
              <w:bottom w:val="single" w:color="auto" w:sz="4" w:space="0"/>
              <w:right w:val="single" w:color="auto" w:sz="4" w:space="0"/>
            </w:tcBorders>
            <w:noWrap/>
            <w:vAlign w:val="center"/>
          </w:tcPr>
          <w:p w14:paraId="1E641366">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F08D46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194867E">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0FB155B">
            <w:pPr>
              <w:shd w:val="clear"/>
              <w:jc w:val="center"/>
              <w:rPr>
                <w:color w:val="000000"/>
                <w:highlight w:val="none"/>
              </w:rPr>
            </w:pPr>
          </w:p>
        </w:tc>
      </w:tr>
      <w:tr w14:paraId="2906A03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bottom w:val="single" w:color="auto" w:sz="4" w:space="0"/>
              <w:right w:val="single" w:color="auto" w:sz="4" w:space="0"/>
            </w:tcBorders>
            <w:noWrap/>
          </w:tcPr>
          <w:p w14:paraId="21761FCD">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59185AA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581E87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835" w:type="dxa"/>
            <w:tcBorders>
              <w:top w:val="single" w:color="auto" w:sz="4" w:space="0"/>
              <w:left w:val="single" w:color="auto" w:sz="4" w:space="0"/>
              <w:bottom w:val="single" w:color="auto" w:sz="4" w:space="0"/>
              <w:right w:val="single" w:color="auto" w:sz="4" w:space="0"/>
            </w:tcBorders>
            <w:noWrap/>
            <w:vAlign w:val="center"/>
          </w:tcPr>
          <w:p w14:paraId="3DE9A08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974" w:type="dxa"/>
            <w:tcBorders>
              <w:top w:val="single" w:color="auto" w:sz="4" w:space="0"/>
              <w:left w:val="single" w:color="auto" w:sz="4" w:space="0"/>
              <w:bottom w:val="single" w:color="auto" w:sz="4" w:space="0"/>
              <w:right w:val="single" w:color="auto" w:sz="4" w:space="0"/>
            </w:tcBorders>
            <w:noWrap/>
            <w:vAlign w:val="center"/>
          </w:tcPr>
          <w:p w14:paraId="0DD4BEC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58740AD">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C369053">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05D66C5E">
            <w:pPr>
              <w:shd w:val="clear"/>
              <w:jc w:val="center"/>
              <w:rPr>
                <w:color w:val="000000"/>
                <w:highlight w:val="none"/>
              </w:rPr>
            </w:pPr>
          </w:p>
        </w:tc>
      </w:tr>
      <w:tr w14:paraId="492B6B5F">
        <w:tblPrEx>
          <w:tblCellMar>
            <w:top w:w="0" w:type="dxa"/>
            <w:left w:w="108" w:type="dxa"/>
            <w:bottom w:w="0" w:type="dxa"/>
            <w:right w:w="108" w:type="dxa"/>
          </w:tblCellMar>
        </w:tblPrEx>
        <w:trPr>
          <w:trHeight w:val="412" w:hRule="atLeast"/>
          <w:jc w:val="center"/>
        </w:trPr>
        <w:tc>
          <w:tcPr>
            <w:tcW w:w="793" w:type="dxa"/>
            <w:vMerge w:val="restart"/>
            <w:tcBorders>
              <w:top w:val="single" w:color="auto" w:sz="4" w:space="0"/>
              <w:left w:val="single" w:color="auto" w:sz="4" w:space="0"/>
              <w:right w:val="single" w:color="auto" w:sz="4" w:space="0"/>
            </w:tcBorders>
            <w:noWrap/>
            <w:vAlign w:val="center"/>
          </w:tcPr>
          <w:p w14:paraId="1A5616F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多级潜水泵</w:t>
            </w:r>
          </w:p>
        </w:tc>
        <w:tc>
          <w:tcPr>
            <w:tcW w:w="752" w:type="dxa"/>
            <w:tcBorders>
              <w:top w:val="single" w:color="auto" w:sz="4" w:space="0"/>
              <w:left w:val="single" w:color="auto" w:sz="4" w:space="0"/>
              <w:bottom w:val="single" w:color="auto" w:sz="4" w:space="0"/>
              <w:right w:val="single" w:color="auto" w:sz="4" w:space="0"/>
            </w:tcBorders>
            <w:noWrap/>
            <w:vAlign w:val="center"/>
          </w:tcPr>
          <w:p w14:paraId="5186040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405" w:type="dxa"/>
            <w:tcBorders>
              <w:top w:val="nil"/>
              <w:left w:val="nil"/>
              <w:bottom w:val="single" w:color="auto" w:sz="4" w:space="0"/>
              <w:right w:val="single" w:color="auto" w:sz="4" w:space="0"/>
            </w:tcBorders>
            <w:noWrap/>
            <w:vAlign w:val="center"/>
          </w:tcPr>
          <w:p w14:paraId="582EA19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电机大修（更换线圈、外观刷漆、浸漆）</w:t>
            </w:r>
          </w:p>
        </w:tc>
        <w:tc>
          <w:tcPr>
            <w:tcW w:w="835" w:type="dxa"/>
            <w:tcBorders>
              <w:top w:val="single" w:color="auto" w:sz="4" w:space="0"/>
              <w:left w:val="single" w:color="auto" w:sz="4" w:space="0"/>
              <w:bottom w:val="single" w:color="auto" w:sz="4" w:space="0"/>
              <w:right w:val="single" w:color="auto" w:sz="4" w:space="0"/>
            </w:tcBorders>
            <w:noWrap/>
            <w:vAlign w:val="center"/>
          </w:tcPr>
          <w:p w14:paraId="776249B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4A926AD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7ACE203">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5B0D4A1">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DA9C1F3">
            <w:pPr>
              <w:shd w:val="clear"/>
              <w:jc w:val="center"/>
              <w:rPr>
                <w:color w:val="000000"/>
                <w:highlight w:val="none"/>
              </w:rPr>
            </w:pPr>
          </w:p>
        </w:tc>
      </w:tr>
      <w:tr w14:paraId="38F46890">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4AD6AEF0">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28A3C0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2405" w:type="dxa"/>
            <w:tcBorders>
              <w:top w:val="nil"/>
              <w:left w:val="nil"/>
              <w:bottom w:val="single" w:color="auto" w:sz="4" w:space="0"/>
              <w:right w:val="single" w:color="auto" w:sz="4" w:space="0"/>
            </w:tcBorders>
            <w:noWrap/>
            <w:vAlign w:val="center"/>
          </w:tcPr>
          <w:p w14:paraId="4CCE5B1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更换机械密封</w:t>
            </w:r>
          </w:p>
        </w:tc>
        <w:tc>
          <w:tcPr>
            <w:tcW w:w="835" w:type="dxa"/>
            <w:tcBorders>
              <w:top w:val="single" w:color="auto" w:sz="4" w:space="0"/>
              <w:left w:val="single" w:color="auto" w:sz="4" w:space="0"/>
              <w:bottom w:val="single" w:color="auto" w:sz="4" w:space="0"/>
              <w:right w:val="single" w:color="auto" w:sz="4" w:space="0"/>
            </w:tcBorders>
            <w:noWrap/>
            <w:vAlign w:val="center"/>
          </w:tcPr>
          <w:p w14:paraId="5C17CE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56E119E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7C8604F">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426718C">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40E21F0">
            <w:pPr>
              <w:shd w:val="clear"/>
              <w:jc w:val="center"/>
              <w:rPr>
                <w:color w:val="000000"/>
                <w:highlight w:val="none"/>
              </w:rPr>
            </w:pPr>
          </w:p>
        </w:tc>
      </w:tr>
      <w:tr w14:paraId="125C1DB5">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FE8CC0A">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945280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2405" w:type="dxa"/>
            <w:tcBorders>
              <w:top w:val="nil"/>
              <w:left w:val="nil"/>
              <w:bottom w:val="single" w:color="auto" w:sz="4" w:space="0"/>
              <w:right w:val="single" w:color="auto" w:sz="4" w:space="0"/>
            </w:tcBorders>
            <w:noWrap/>
            <w:vAlign w:val="center"/>
          </w:tcPr>
          <w:p w14:paraId="627087E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更换橡胶轴承及附件（单个）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305A596B">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6F57DB80">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4000BDD2">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5F73935">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4CDB91F">
            <w:pPr>
              <w:shd w:val="clear"/>
              <w:jc w:val="center"/>
              <w:rPr>
                <w:color w:val="000000"/>
                <w:highlight w:val="none"/>
              </w:rPr>
            </w:pPr>
          </w:p>
        </w:tc>
      </w:tr>
      <w:tr w14:paraId="3233950E">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56453FA">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1870E4D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405" w:type="dxa"/>
            <w:tcBorders>
              <w:top w:val="nil"/>
              <w:left w:val="nil"/>
              <w:bottom w:val="single" w:color="auto" w:sz="4" w:space="0"/>
              <w:right w:val="single" w:color="auto" w:sz="4" w:space="0"/>
            </w:tcBorders>
            <w:noWrap/>
            <w:vAlign w:val="center"/>
          </w:tcPr>
          <w:p w14:paraId="622CD0A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更换推力轴承及附件（单个）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012D820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0CB9B57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6512732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29628C9">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781D7715">
            <w:pPr>
              <w:shd w:val="clear"/>
              <w:jc w:val="center"/>
              <w:rPr>
                <w:color w:val="000000"/>
                <w:highlight w:val="none"/>
              </w:rPr>
            </w:pPr>
          </w:p>
        </w:tc>
      </w:tr>
      <w:tr w14:paraId="6394C4D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7703A252">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5773F0C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2405" w:type="dxa"/>
            <w:tcBorders>
              <w:top w:val="nil"/>
              <w:left w:val="nil"/>
              <w:bottom w:val="single" w:color="auto" w:sz="4" w:space="0"/>
              <w:right w:val="single" w:color="auto" w:sz="4" w:space="0"/>
            </w:tcBorders>
            <w:noWrap/>
            <w:vAlign w:val="center"/>
          </w:tcPr>
          <w:p w14:paraId="4013D9E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更换石墨轴承及附件（单个）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2413E9E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18CBE7F8">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61861E6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6DF593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759A49C">
            <w:pPr>
              <w:shd w:val="clear"/>
              <w:jc w:val="center"/>
              <w:rPr>
                <w:color w:val="000000"/>
                <w:highlight w:val="none"/>
              </w:rPr>
            </w:pPr>
          </w:p>
        </w:tc>
      </w:tr>
      <w:tr w14:paraId="171E7ED1">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A6F50AF">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6AE55CE7">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405" w:type="dxa"/>
            <w:tcBorders>
              <w:top w:val="nil"/>
              <w:left w:val="nil"/>
              <w:bottom w:val="single" w:color="auto" w:sz="4" w:space="0"/>
              <w:right w:val="single" w:color="auto" w:sz="4" w:space="0"/>
            </w:tcBorders>
            <w:noWrap/>
            <w:vAlign w:val="center"/>
          </w:tcPr>
          <w:p w14:paraId="5E64A3B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更换叶轮及导叶（单个）</w:t>
            </w:r>
          </w:p>
        </w:tc>
        <w:tc>
          <w:tcPr>
            <w:tcW w:w="835" w:type="dxa"/>
            <w:tcBorders>
              <w:top w:val="single" w:color="auto" w:sz="4" w:space="0"/>
              <w:left w:val="single" w:color="auto" w:sz="4" w:space="0"/>
              <w:bottom w:val="single" w:color="auto" w:sz="4" w:space="0"/>
              <w:right w:val="single" w:color="auto" w:sz="4" w:space="0"/>
            </w:tcBorders>
            <w:noWrap/>
            <w:vAlign w:val="center"/>
          </w:tcPr>
          <w:p w14:paraId="222C9B09">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47AA2F8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194F3DB8">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AB3BFC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3D6A1FC">
            <w:pPr>
              <w:shd w:val="clear"/>
              <w:jc w:val="center"/>
              <w:rPr>
                <w:color w:val="000000"/>
                <w:highlight w:val="none"/>
              </w:rPr>
            </w:pPr>
          </w:p>
        </w:tc>
      </w:tr>
      <w:tr w14:paraId="482D1DAA">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6C382C9">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53B8BD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2405" w:type="dxa"/>
            <w:tcBorders>
              <w:top w:val="nil"/>
              <w:left w:val="nil"/>
              <w:bottom w:val="single" w:color="auto" w:sz="4" w:space="0"/>
              <w:right w:val="single" w:color="auto" w:sz="4" w:space="0"/>
            </w:tcBorders>
            <w:noWrap/>
            <w:vAlign w:val="center"/>
          </w:tcPr>
          <w:p w14:paraId="3F0FB08A">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维修泵轴</w:t>
            </w:r>
          </w:p>
        </w:tc>
        <w:tc>
          <w:tcPr>
            <w:tcW w:w="835" w:type="dxa"/>
            <w:tcBorders>
              <w:top w:val="single" w:color="auto" w:sz="4" w:space="0"/>
              <w:left w:val="single" w:color="auto" w:sz="4" w:space="0"/>
              <w:bottom w:val="single" w:color="auto" w:sz="4" w:space="0"/>
              <w:right w:val="single" w:color="auto" w:sz="4" w:space="0"/>
            </w:tcBorders>
            <w:noWrap/>
            <w:vAlign w:val="center"/>
          </w:tcPr>
          <w:p w14:paraId="0CDE713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5F09F95E">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B182B55">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72F02D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6A5C93E7">
            <w:pPr>
              <w:shd w:val="clear"/>
              <w:jc w:val="center"/>
              <w:rPr>
                <w:color w:val="000000"/>
                <w:highlight w:val="none"/>
              </w:rPr>
            </w:pPr>
          </w:p>
        </w:tc>
      </w:tr>
      <w:tr w14:paraId="61A39310">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34F38208">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544E654F">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405" w:type="dxa"/>
            <w:tcBorders>
              <w:top w:val="nil"/>
              <w:left w:val="nil"/>
              <w:bottom w:val="single" w:color="auto" w:sz="4" w:space="0"/>
              <w:right w:val="single" w:color="auto" w:sz="4" w:space="0"/>
            </w:tcBorders>
            <w:noWrap/>
            <w:vAlign w:val="center"/>
          </w:tcPr>
          <w:p w14:paraId="70BD596C">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更换直推阀</w:t>
            </w:r>
          </w:p>
        </w:tc>
        <w:tc>
          <w:tcPr>
            <w:tcW w:w="835" w:type="dxa"/>
            <w:tcBorders>
              <w:top w:val="single" w:color="auto" w:sz="4" w:space="0"/>
              <w:left w:val="single" w:color="auto" w:sz="4" w:space="0"/>
              <w:bottom w:val="single" w:color="auto" w:sz="4" w:space="0"/>
              <w:right w:val="single" w:color="auto" w:sz="4" w:space="0"/>
            </w:tcBorders>
            <w:noWrap/>
            <w:vAlign w:val="center"/>
          </w:tcPr>
          <w:p w14:paraId="2561582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6FA66D2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7633B5CE">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28F5B1F">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17314FD">
            <w:pPr>
              <w:shd w:val="clear"/>
              <w:jc w:val="center"/>
              <w:rPr>
                <w:color w:val="000000"/>
                <w:highlight w:val="none"/>
              </w:rPr>
            </w:pPr>
          </w:p>
        </w:tc>
      </w:tr>
      <w:tr w14:paraId="00BFFCB3">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27BD6507">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C9A9F0D">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2405" w:type="dxa"/>
            <w:tcBorders>
              <w:top w:val="nil"/>
              <w:left w:val="nil"/>
              <w:bottom w:val="single" w:color="auto" w:sz="4" w:space="0"/>
              <w:right w:val="single" w:color="auto" w:sz="4" w:space="0"/>
            </w:tcBorders>
            <w:noWrap/>
            <w:vAlign w:val="center"/>
          </w:tcPr>
          <w:p w14:paraId="50A8B27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更换进/出水节</w:t>
            </w:r>
          </w:p>
        </w:tc>
        <w:tc>
          <w:tcPr>
            <w:tcW w:w="835" w:type="dxa"/>
            <w:tcBorders>
              <w:top w:val="single" w:color="auto" w:sz="4" w:space="0"/>
              <w:left w:val="single" w:color="auto" w:sz="4" w:space="0"/>
              <w:bottom w:val="single" w:color="auto" w:sz="4" w:space="0"/>
              <w:right w:val="single" w:color="auto" w:sz="4" w:space="0"/>
            </w:tcBorders>
            <w:noWrap/>
            <w:vAlign w:val="center"/>
          </w:tcPr>
          <w:p w14:paraId="11C8770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47DE6CC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EB33E2B">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42CA84D">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1506A751">
            <w:pPr>
              <w:shd w:val="clear"/>
              <w:jc w:val="center"/>
              <w:rPr>
                <w:color w:val="000000"/>
                <w:highlight w:val="none"/>
              </w:rPr>
            </w:pPr>
          </w:p>
        </w:tc>
      </w:tr>
      <w:tr w14:paraId="7D6AE5FD">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right w:val="single" w:color="auto" w:sz="4" w:space="0"/>
            </w:tcBorders>
            <w:noWrap/>
          </w:tcPr>
          <w:p w14:paraId="1A7613D4">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7EAF441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2405" w:type="dxa"/>
            <w:tcBorders>
              <w:top w:val="nil"/>
              <w:left w:val="nil"/>
              <w:bottom w:val="single" w:color="auto" w:sz="4" w:space="0"/>
              <w:right w:val="single" w:color="auto" w:sz="4" w:space="0"/>
            </w:tcBorders>
            <w:noWrap/>
            <w:vAlign w:val="center"/>
          </w:tcPr>
          <w:p w14:paraId="1A01247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更换外引线</w:t>
            </w:r>
          </w:p>
        </w:tc>
        <w:tc>
          <w:tcPr>
            <w:tcW w:w="835" w:type="dxa"/>
            <w:tcBorders>
              <w:top w:val="single" w:color="auto" w:sz="4" w:space="0"/>
              <w:left w:val="single" w:color="auto" w:sz="4" w:space="0"/>
              <w:bottom w:val="single" w:color="auto" w:sz="4" w:space="0"/>
              <w:right w:val="single" w:color="auto" w:sz="4" w:space="0"/>
            </w:tcBorders>
            <w:noWrap/>
            <w:vAlign w:val="center"/>
          </w:tcPr>
          <w:p w14:paraId="4A9F3604">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974" w:type="dxa"/>
            <w:tcBorders>
              <w:top w:val="single" w:color="auto" w:sz="4" w:space="0"/>
              <w:left w:val="single" w:color="auto" w:sz="4" w:space="0"/>
              <w:bottom w:val="single" w:color="auto" w:sz="4" w:space="0"/>
              <w:right w:val="single" w:color="auto" w:sz="4" w:space="0"/>
            </w:tcBorders>
            <w:noWrap/>
            <w:vAlign w:val="center"/>
          </w:tcPr>
          <w:p w14:paraId="2F19A94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0CEB512C">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178CF52">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44E10674">
            <w:pPr>
              <w:shd w:val="clear"/>
              <w:jc w:val="center"/>
              <w:rPr>
                <w:color w:val="000000"/>
                <w:highlight w:val="none"/>
              </w:rPr>
            </w:pPr>
          </w:p>
        </w:tc>
      </w:tr>
      <w:tr w14:paraId="2AF2665E">
        <w:tblPrEx>
          <w:tblCellMar>
            <w:top w:w="0" w:type="dxa"/>
            <w:left w:w="108" w:type="dxa"/>
            <w:bottom w:w="0" w:type="dxa"/>
            <w:right w:w="108" w:type="dxa"/>
          </w:tblCellMar>
        </w:tblPrEx>
        <w:trPr>
          <w:trHeight w:val="412" w:hRule="atLeast"/>
          <w:jc w:val="center"/>
        </w:trPr>
        <w:tc>
          <w:tcPr>
            <w:tcW w:w="793" w:type="dxa"/>
            <w:vMerge w:val="continue"/>
            <w:tcBorders>
              <w:left w:val="single" w:color="auto" w:sz="4" w:space="0"/>
              <w:bottom w:val="single" w:color="auto" w:sz="4" w:space="0"/>
              <w:right w:val="single" w:color="auto" w:sz="4" w:space="0"/>
            </w:tcBorders>
            <w:noWrap/>
          </w:tcPr>
          <w:p w14:paraId="5765FD64">
            <w:pPr>
              <w:shd w:val="clear"/>
              <w:jc w:val="center"/>
              <w:rPr>
                <w:color w:val="000000"/>
                <w:highlight w:val="none"/>
              </w:rPr>
            </w:pPr>
          </w:p>
        </w:tc>
        <w:tc>
          <w:tcPr>
            <w:tcW w:w="752" w:type="dxa"/>
            <w:tcBorders>
              <w:top w:val="single" w:color="auto" w:sz="4" w:space="0"/>
              <w:left w:val="single" w:color="auto" w:sz="4" w:space="0"/>
              <w:bottom w:val="single" w:color="auto" w:sz="4" w:space="0"/>
              <w:right w:val="single" w:color="auto" w:sz="4" w:space="0"/>
            </w:tcBorders>
            <w:noWrap/>
            <w:vAlign w:val="center"/>
          </w:tcPr>
          <w:p w14:paraId="37C9CE95">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2405" w:type="dxa"/>
            <w:tcBorders>
              <w:top w:val="nil"/>
              <w:left w:val="nil"/>
              <w:bottom w:val="single" w:color="auto" w:sz="4" w:space="0"/>
              <w:right w:val="single" w:color="auto" w:sz="4" w:space="0"/>
            </w:tcBorders>
            <w:noWrap/>
            <w:vAlign w:val="center"/>
          </w:tcPr>
          <w:p w14:paraId="617F0163">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更换泵头</w:t>
            </w:r>
          </w:p>
        </w:tc>
        <w:tc>
          <w:tcPr>
            <w:tcW w:w="835" w:type="dxa"/>
            <w:tcBorders>
              <w:top w:val="single" w:color="auto" w:sz="4" w:space="0"/>
              <w:left w:val="single" w:color="auto" w:sz="4" w:space="0"/>
              <w:bottom w:val="single" w:color="auto" w:sz="4" w:space="0"/>
              <w:right w:val="single" w:color="auto" w:sz="4" w:space="0"/>
            </w:tcBorders>
            <w:noWrap/>
            <w:vAlign w:val="center"/>
          </w:tcPr>
          <w:p w14:paraId="750A47A2">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974" w:type="dxa"/>
            <w:tcBorders>
              <w:top w:val="single" w:color="auto" w:sz="4" w:space="0"/>
              <w:left w:val="single" w:color="auto" w:sz="4" w:space="0"/>
              <w:bottom w:val="single" w:color="auto" w:sz="4" w:space="0"/>
              <w:right w:val="single" w:color="auto" w:sz="4" w:space="0"/>
            </w:tcBorders>
            <w:noWrap/>
            <w:vAlign w:val="center"/>
          </w:tcPr>
          <w:p w14:paraId="58669651">
            <w:pPr>
              <w:keepNext w:val="0"/>
              <w:keepLines w:val="0"/>
              <w:widowControl/>
              <w:suppressLineNumbers w:val="0"/>
              <w:shd w:val="clear"/>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kw</w:t>
            </w:r>
          </w:p>
        </w:tc>
        <w:tc>
          <w:tcPr>
            <w:tcW w:w="974" w:type="dxa"/>
            <w:tcBorders>
              <w:top w:val="single" w:color="auto" w:sz="4" w:space="0"/>
              <w:left w:val="single" w:color="auto" w:sz="4" w:space="0"/>
              <w:bottom w:val="single" w:color="auto" w:sz="4" w:space="0"/>
              <w:right w:val="single" w:color="auto" w:sz="4" w:space="0"/>
            </w:tcBorders>
            <w:noWrap/>
            <w:vAlign w:val="center"/>
          </w:tcPr>
          <w:p w14:paraId="56B61C04">
            <w:pPr>
              <w:shd w:val="clear"/>
              <w:jc w:val="center"/>
              <w:rPr>
                <w:color w:val="000000"/>
                <w:highlight w:val="none"/>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0A4F8A2">
            <w:pPr>
              <w:shd w:val="clear"/>
              <w:jc w:val="center"/>
              <w:rPr>
                <w:color w:val="000000"/>
                <w:highlight w:val="none"/>
              </w:rPr>
            </w:pPr>
          </w:p>
        </w:tc>
        <w:tc>
          <w:tcPr>
            <w:tcW w:w="1917" w:type="dxa"/>
            <w:vMerge w:val="continue"/>
            <w:tcBorders>
              <w:left w:val="single" w:color="auto" w:sz="4" w:space="0"/>
              <w:right w:val="single" w:color="auto" w:sz="4" w:space="0"/>
            </w:tcBorders>
            <w:noWrap/>
            <w:vAlign w:val="center"/>
          </w:tcPr>
          <w:p w14:paraId="2D94374E">
            <w:pPr>
              <w:shd w:val="clear"/>
              <w:jc w:val="center"/>
              <w:rPr>
                <w:color w:val="000000"/>
                <w:highlight w:val="none"/>
              </w:rPr>
            </w:pPr>
          </w:p>
        </w:tc>
      </w:tr>
      <w:tr w14:paraId="00081B5A">
        <w:tblPrEx>
          <w:tblCellMar>
            <w:top w:w="0" w:type="dxa"/>
            <w:left w:w="108" w:type="dxa"/>
            <w:bottom w:w="0" w:type="dxa"/>
            <w:right w:w="108" w:type="dxa"/>
          </w:tblCellMar>
        </w:tblPrEx>
        <w:trPr>
          <w:trHeight w:val="610" w:hRule="atLeast"/>
          <w:jc w:val="center"/>
        </w:trPr>
        <w:tc>
          <w:tcPr>
            <w:tcW w:w="9775" w:type="dxa"/>
            <w:gridSpan w:val="8"/>
            <w:tcBorders>
              <w:top w:val="single" w:color="auto" w:sz="4" w:space="0"/>
              <w:left w:val="single" w:color="auto" w:sz="4" w:space="0"/>
              <w:bottom w:val="single" w:color="auto" w:sz="4" w:space="0"/>
              <w:right w:val="single" w:color="auto" w:sz="4" w:space="0"/>
            </w:tcBorders>
            <w:noWrap/>
            <w:vAlign w:val="center"/>
          </w:tcPr>
          <w:p w14:paraId="7B1C8960">
            <w:pPr>
              <w:shd w:val="clear"/>
              <w:jc w:val="left"/>
              <w:rPr>
                <w:color w:val="000000"/>
                <w:highlight w:val="none"/>
              </w:rPr>
            </w:pPr>
            <w:r>
              <w:rPr>
                <w:rFonts w:hint="eastAsia" w:ascii="宋体" w:hAnsi="宋体" w:cs="宋体"/>
                <w:color w:val="000000"/>
                <w:sz w:val="24"/>
                <w:highlight w:val="none"/>
              </w:rPr>
              <w:t>合计人民币金额(大写)：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（含</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%增值税</w:t>
            </w:r>
            <w:r>
              <w:rPr>
                <w:rFonts w:hint="eastAsia" w:ascii="宋体" w:hAnsi="宋体" w:cs="宋体"/>
                <w:b/>
                <w:bCs/>
                <w:color w:val="000000"/>
                <w:sz w:val="24"/>
                <w:highlight w:val="none"/>
              </w:rPr>
              <w:t>¥</w:t>
            </w: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含</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%增值税）</w:t>
            </w:r>
          </w:p>
        </w:tc>
      </w:tr>
      <w:tr w14:paraId="5DB17CC8">
        <w:tblPrEx>
          <w:tblCellMar>
            <w:top w:w="0" w:type="dxa"/>
            <w:left w:w="108" w:type="dxa"/>
            <w:bottom w:w="0" w:type="dxa"/>
            <w:right w:w="108" w:type="dxa"/>
          </w:tblCellMar>
        </w:tblPrEx>
        <w:trPr>
          <w:trHeight w:val="609" w:hRule="atLeast"/>
          <w:jc w:val="center"/>
        </w:trPr>
        <w:tc>
          <w:tcPr>
            <w:tcW w:w="9775" w:type="dxa"/>
            <w:gridSpan w:val="8"/>
            <w:tcBorders>
              <w:top w:val="single" w:color="auto" w:sz="4" w:space="0"/>
              <w:left w:val="single" w:color="auto" w:sz="4" w:space="0"/>
              <w:bottom w:val="single" w:color="auto" w:sz="4" w:space="0"/>
              <w:right w:val="single" w:color="auto" w:sz="4" w:space="0"/>
            </w:tcBorders>
            <w:noWrap/>
            <w:vAlign w:val="center"/>
          </w:tcPr>
          <w:p w14:paraId="0B6A5FD7">
            <w:pPr>
              <w:shd w:val="clear"/>
              <w:jc w:val="left"/>
              <w:rPr>
                <w:rFonts w:ascii="宋体" w:hAnsi="宋体" w:cs="宋体"/>
                <w:color w:val="000000"/>
                <w:sz w:val="24"/>
                <w:highlight w:val="none"/>
              </w:rPr>
            </w:pPr>
            <w:r>
              <w:rPr>
                <w:rFonts w:hint="eastAsia" w:ascii="宋体" w:hAnsi="宋体" w:cs="宋体"/>
                <w:color w:val="000000"/>
                <w:sz w:val="24"/>
                <w:highlight w:val="none"/>
              </w:rPr>
              <w:t>注：以上价格为包干价，包含材料费、</w:t>
            </w:r>
            <w:r>
              <w:rPr>
                <w:rFonts w:hint="eastAsia" w:ascii="宋体" w:hAnsi="宋体" w:cs="宋体"/>
                <w:color w:val="000000"/>
                <w:sz w:val="24"/>
                <w:highlight w:val="none"/>
                <w:lang w:val="zh-CN"/>
              </w:rPr>
              <w:t>往返运输、</w:t>
            </w:r>
            <w:r>
              <w:rPr>
                <w:rFonts w:hint="eastAsia" w:ascii="宋体" w:hAnsi="宋体" w:cs="宋体"/>
                <w:color w:val="000000"/>
                <w:sz w:val="24"/>
                <w:highlight w:val="none"/>
              </w:rPr>
              <w:t>人工、</w:t>
            </w:r>
            <w:r>
              <w:rPr>
                <w:rFonts w:hint="eastAsia" w:ascii="宋体" w:hAnsi="宋体" w:cs="宋体"/>
                <w:color w:val="000000"/>
                <w:sz w:val="24"/>
                <w:highlight w:val="none"/>
                <w:lang w:val="zh-CN"/>
              </w:rPr>
              <w:t>试验</w:t>
            </w:r>
            <w:r>
              <w:rPr>
                <w:rFonts w:hint="eastAsia" w:ascii="宋体" w:hAnsi="宋体" w:cs="宋体"/>
                <w:color w:val="000000"/>
                <w:sz w:val="24"/>
                <w:highlight w:val="none"/>
              </w:rPr>
              <w:t>等费用。</w:t>
            </w:r>
          </w:p>
        </w:tc>
      </w:tr>
    </w:tbl>
    <w:p w14:paraId="18D765DC">
      <w:pPr>
        <w:shd w:val="clear"/>
        <w:autoSpaceDE w:val="0"/>
        <w:autoSpaceDN w:val="0"/>
        <w:adjustRightInd w:val="0"/>
        <w:snapToGrid w:val="0"/>
        <w:spacing w:line="360" w:lineRule="auto"/>
        <w:rPr>
          <w:rFonts w:hint="eastAsia" w:cs="仿宋"/>
          <w:highlight w:val="none"/>
        </w:rPr>
      </w:pPr>
    </w:p>
    <w:p w14:paraId="5FED2350">
      <w:pPr>
        <w:pStyle w:val="2"/>
        <w:shd w:val="clear"/>
        <w:rPr>
          <w:rFonts w:hint="eastAsia"/>
          <w:highlight w:val="none"/>
        </w:rPr>
      </w:pPr>
    </w:p>
    <w:p w14:paraId="7D707920">
      <w:pPr>
        <w:shd w:val="clear"/>
        <w:autoSpaceDE w:val="0"/>
        <w:autoSpaceDN w:val="0"/>
        <w:adjustRightInd w:val="0"/>
        <w:snapToGrid w:val="0"/>
        <w:spacing w:line="360" w:lineRule="auto"/>
        <w:ind w:firstLine="4560" w:firstLineChars="1900"/>
        <w:rPr>
          <w:rFonts w:hint="eastAsia" w:cs="仿宋"/>
          <w:highlight w:val="none"/>
        </w:rPr>
      </w:pPr>
      <w:r>
        <w:rPr>
          <w:rFonts w:hint="eastAsia" w:cs="仿宋"/>
          <w:highlight w:val="none"/>
        </w:rPr>
        <w:t>投标人：（盖单位章）</w:t>
      </w:r>
    </w:p>
    <w:p w14:paraId="7CF1760A">
      <w:pPr>
        <w:shd w:val="clear"/>
        <w:spacing w:line="360" w:lineRule="auto"/>
        <w:ind w:firstLine="4560" w:firstLineChars="1900"/>
        <w:rPr>
          <w:rFonts w:hint="eastAsia" w:cs="仿宋"/>
          <w:highlight w:val="none"/>
        </w:rPr>
      </w:pPr>
      <w:r>
        <w:rPr>
          <w:rFonts w:hint="eastAsia" w:cs="仿宋"/>
          <w:highlight w:val="none"/>
        </w:rPr>
        <w:t>法定代表人或其委托代理人：（签字）</w:t>
      </w:r>
    </w:p>
    <w:p w14:paraId="2367B204">
      <w:pPr>
        <w:shd w:val="clear"/>
        <w:spacing w:line="360" w:lineRule="auto"/>
        <w:ind w:firstLine="6960" w:firstLineChars="2900"/>
        <w:rPr>
          <w:rFonts w:hint="eastAsia" w:cs="仿宋"/>
          <w:highlight w:val="none"/>
        </w:rPr>
      </w:pPr>
      <w:r>
        <w:rPr>
          <w:rFonts w:hint="eastAsia" w:cs="仿宋"/>
          <w:highlight w:val="none"/>
        </w:rPr>
        <w:t>年  月  日</w:t>
      </w:r>
    </w:p>
    <w:p w14:paraId="12CBB995">
      <w:pPr>
        <w:shd w:val="clear"/>
        <w:autoSpaceDE w:val="0"/>
        <w:autoSpaceDN w:val="0"/>
        <w:adjustRightInd w:val="0"/>
        <w:snapToGrid w:val="0"/>
        <w:spacing w:line="360" w:lineRule="auto"/>
        <w:rPr>
          <w:rFonts w:cs="仿宋"/>
          <w:highlight w:val="none"/>
        </w:rPr>
      </w:pPr>
    </w:p>
    <w:p w14:paraId="36412BDC">
      <w:pPr>
        <w:shd w:val="clear"/>
        <w:spacing w:line="360" w:lineRule="auto"/>
        <w:jc w:val="center"/>
        <w:rPr>
          <w:rFonts w:hint="eastAsia" w:cs="仿宋"/>
          <w:b/>
          <w:highlight w:val="none"/>
        </w:rPr>
      </w:pPr>
    </w:p>
    <w:p w14:paraId="50C89FBB">
      <w:pPr>
        <w:shd w:val="clear"/>
        <w:spacing w:line="360" w:lineRule="auto"/>
        <w:jc w:val="center"/>
        <w:rPr>
          <w:rFonts w:hint="eastAsia" w:cs="仿宋"/>
          <w:b/>
          <w:highlight w:val="none"/>
        </w:rPr>
      </w:pPr>
    </w:p>
    <w:p w14:paraId="2445FF50">
      <w:pPr>
        <w:shd w:val="clear"/>
        <w:spacing w:line="360" w:lineRule="auto"/>
        <w:jc w:val="center"/>
        <w:rPr>
          <w:rFonts w:hint="eastAsia" w:cs="仿宋"/>
          <w:b/>
          <w:highlight w:val="none"/>
        </w:rPr>
      </w:pPr>
    </w:p>
    <w:p w14:paraId="1A063521">
      <w:pPr>
        <w:shd w:val="clear"/>
        <w:spacing w:line="360" w:lineRule="auto"/>
        <w:jc w:val="center"/>
        <w:rPr>
          <w:rFonts w:hint="eastAsia" w:cs="仿宋"/>
          <w:b/>
          <w:highlight w:val="none"/>
        </w:rPr>
      </w:pPr>
    </w:p>
    <w:p w14:paraId="3D21A9A7">
      <w:pPr>
        <w:pStyle w:val="2"/>
        <w:shd w:val="clear"/>
        <w:ind w:left="480" w:firstLine="480"/>
        <w:rPr>
          <w:highlight w:val="none"/>
        </w:rPr>
      </w:pPr>
      <w:r>
        <w:rPr>
          <w:highlight w:val="none"/>
        </w:rPr>
        <w:br w:type="page"/>
      </w:r>
    </w:p>
    <w:p w14:paraId="495A4D26">
      <w:pPr>
        <w:pStyle w:val="58"/>
        <w:shd w:val="clear"/>
        <w:rPr>
          <w:highlight w:val="none"/>
        </w:rPr>
      </w:pPr>
      <w:bookmarkStart w:id="196" w:name="_Toc508871759"/>
      <w:bookmarkStart w:id="197" w:name="_Toc16334_WPSOffice_Level1"/>
      <w:bookmarkStart w:id="198" w:name="_Toc1630_WPSOffice_Level1"/>
      <w:bookmarkStart w:id="199" w:name="_Toc352160855"/>
      <w:bookmarkStart w:id="200" w:name="_Toc391556619"/>
      <w:bookmarkStart w:id="201" w:name="_Toc506105880"/>
      <w:r>
        <w:rPr>
          <w:rFonts w:hint="eastAsia"/>
          <w:highlight w:val="none"/>
        </w:rPr>
        <w:t>7、商务或技术偏差表</w:t>
      </w:r>
      <w:bookmarkEnd w:id="196"/>
      <w:bookmarkEnd w:id="197"/>
      <w:bookmarkEnd w:id="198"/>
    </w:p>
    <w:p w14:paraId="16CB04A8">
      <w:pPr>
        <w:shd w:val="clear"/>
        <w:spacing w:line="360" w:lineRule="auto"/>
        <w:jc w:val="center"/>
        <w:rPr>
          <w:rFonts w:cs="仿宋"/>
          <w:b/>
          <w:highlight w:val="none"/>
        </w:rPr>
      </w:pPr>
      <w:r>
        <w:rPr>
          <w:rFonts w:hint="eastAsia" w:cs="仿宋"/>
          <w:b/>
          <w:highlight w:val="none"/>
        </w:rPr>
        <w:t>商务或技术偏差表</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1331"/>
        <w:gridCol w:w="992"/>
        <w:gridCol w:w="2551"/>
        <w:gridCol w:w="1985"/>
        <w:gridCol w:w="1417"/>
      </w:tblGrid>
      <w:tr w14:paraId="71C5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C6121">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商务或技术偏差</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6391BAE">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条目</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CF6D7C">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页码</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ACB2AC5">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招标文件规定</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71714051">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偏差</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9ED6CD4">
            <w:pPr>
              <w:shd w:val="clear"/>
              <w:overflowPunct w:val="0"/>
              <w:topLinePunct/>
              <w:spacing w:line="360" w:lineRule="auto"/>
              <w:ind w:right="14"/>
              <w:jc w:val="center"/>
              <w:rPr>
                <w:rFonts w:ascii="仿宋" w:hAnsi="仿宋" w:eastAsia="仿宋" w:cs="仿宋"/>
                <w:position w:val="-9"/>
                <w:highlight w:val="none"/>
              </w:rPr>
            </w:pPr>
            <w:r>
              <w:rPr>
                <w:rFonts w:hint="eastAsia" w:ascii="仿宋" w:hAnsi="仿宋" w:eastAsia="仿宋" w:cs="仿宋"/>
                <w:position w:val="-9"/>
                <w:highlight w:val="none"/>
              </w:rPr>
              <w:t>备注</w:t>
            </w:r>
          </w:p>
        </w:tc>
      </w:tr>
      <w:tr w14:paraId="47821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9C34F">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563E07D">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DCAFB0E">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703FFFF1">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A552D84">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E6FA8C7">
            <w:pPr>
              <w:shd w:val="clear"/>
              <w:overflowPunct w:val="0"/>
              <w:topLinePunct/>
              <w:spacing w:line="360" w:lineRule="auto"/>
              <w:ind w:right="14"/>
              <w:jc w:val="center"/>
              <w:rPr>
                <w:rFonts w:ascii="仿宋" w:hAnsi="仿宋" w:eastAsia="仿宋" w:cs="仿宋"/>
                <w:position w:val="-9"/>
                <w:highlight w:val="none"/>
              </w:rPr>
            </w:pPr>
          </w:p>
        </w:tc>
      </w:tr>
      <w:tr w14:paraId="5888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AC023">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73D45A7">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16C9A2">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C5BE5B0">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EE23FC0">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8BEF294">
            <w:pPr>
              <w:shd w:val="clear"/>
              <w:overflowPunct w:val="0"/>
              <w:topLinePunct/>
              <w:spacing w:line="360" w:lineRule="auto"/>
              <w:ind w:right="14"/>
              <w:jc w:val="center"/>
              <w:rPr>
                <w:rFonts w:ascii="仿宋" w:hAnsi="仿宋" w:eastAsia="仿宋" w:cs="仿宋"/>
                <w:position w:val="-9"/>
                <w:highlight w:val="none"/>
              </w:rPr>
            </w:pPr>
          </w:p>
        </w:tc>
      </w:tr>
      <w:tr w14:paraId="61ED9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07E0">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15AF42A">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C170FE">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56F06F25">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3CDAAB3">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C5F5810">
            <w:pPr>
              <w:shd w:val="clear"/>
              <w:overflowPunct w:val="0"/>
              <w:topLinePunct/>
              <w:spacing w:line="360" w:lineRule="auto"/>
              <w:ind w:right="14"/>
              <w:jc w:val="center"/>
              <w:rPr>
                <w:rFonts w:ascii="仿宋" w:hAnsi="仿宋" w:eastAsia="仿宋" w:cs="仿宋"/>
                <w:position w:val="-9"/>
                <w:highlight w:val="none"/>
              </w:rPr>
            </w:pPr>
          </w:p>
        </w:tc>
      </w:tr>
      <w:tr w14:paraId="0BB2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B87E7">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9611D42">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296FF7">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37FFC04">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50DA313">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4D9DDCB">
            <w:pPr>
              <w:shd w:val="clear"/>
              <w:overflowPunct w:val="0"/>
              <w:topLinePunct/>
              <w:spacing w:line="360" w:lineRule="auto"/>
              <w:ind w:right="14"/>
              <w:jc w:val="center"/>
              <w:rPr>
                <w:rFonts w:ascii="仿宋" w:hAnsi="仿宋" w:eastAsia="仿宋" w:cs="仿宋"/>
                <w:position w:val="-9"/>
                <w:highlight w:val="none"/>
              </w:rPr>
            </w:pPr>
          </w:p>
        </w:tc>
      </w:tr>
      <w:tr w14:paraId="47B9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FEB87">
            <w:pPr>
              <w:shd w:val="clear"/>
              <w:spacing w:line="360" w:lineRule="auto"/>
              <w:rPr>
                <w:rFonts w:ascii="仿宋" w:hAnsi="仿宋" w:eastAsia="仿宋" w:cs="仿宋"/>
                <w:position w:val="-9"/>
                <w:highlight w:val="none"/>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EE7C925">
            <w:pPr>
              <w:shd w:val="clear"/>
              <w:overflowPunct w:val="0"/>
              <w:topLinePunct/>
              <w:spacing w:line="360" w:lineRule="auto"/>
              <w:ind w:right="14"/>
              <w:jc w:val="center"/>
              <w:rPr>
                <w:rFonts w:ascii="仿宋" w:hAnsi="仿宋" w:eastAsia="仿宋" w:cs="仿宋"/>
                <w:position w:val="-9"/>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F752DF9">
            <w:pPr>
              <w:shd w:val="clear"/>
              <w:overflowPunct w:val="0"/>
              <w:topLinePunct/>
              <w:spacing w:line="360" w:lineRule="auto"/>
              <w:ind w:right="14"/>
              <w:jc w:val="center"/>
              <w:rPr>
                <w:rFonts w:ascii="仿宋" w:hAnsi="仿宋" w:eastAsia="仿宋" w:cs="仿宋"/>
                <w:position w:val="-9"/>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16C255B8">
            <w:pPr>
              <w:shd w:val="clear"/>
              <w:overflowPunct w:val="0"/>
              <w:topLinePunct/>
              <w:spacing w:line="360" w:lineRule="auto"/>
              <w:ind w:right="14"/>
              <w:jc w:val="center"/>
              <w:rPr>
                <w:rFonts w:ascii="仿宋" w:hAnsi="仿宋" w:eastAsia="仿宋" w:cs="仿宋"/>
                <w:position w:val="-9"/>
                <w:highlight w:val="none"/>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0BAAA1F">
            <w:pPr>
              <w:shd w:val="clear"/>
              <w:overflowPunct w:val="0"/>
              <w:topLinePunct/>
              <w:spacing w:line="360" w:lineRule="auto"/>
              <w:ind w:right="14"/>
              <w:jc w:val="center"/>
              <w:rPr>
                <w:rFonts w:ascii="仿宋" w:hAnsi="仿宋" w:eastAsia="仿宋" w:cs="仿宋"/>
                <w:position w:val="-9"/>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BCB04F4">
            <w:pPr>
              <w:shd w:val="clear"/>
              <w:overflowPunct w:val="0"/>
              <w:topLinePunct/>
              <w:spacing w:line="360" w:lineRule="auto"/>
              <w:ind w:right="14"/>
              <w:jc w:val="center"/>
              <w:rPr>
                <w:rFonts w:ascii="仿宋" w:hAnsi="仿宋" w:eastAsia="仿宋" w:cs="仿宋"/>
                <w:position w:val="-9"/>
                <w:highlight w:val="none"/>
              </w:rPr>
            </w:pPr>
          </w:p>
        </w:tc>
      </w:tr>
    </w:tbl>
    <w:p w14:paraId="02F84A1C">
      <w:pPr>
        <w:shd w:val="clear"/>
        <w:spacing w:line="360" w:lineRule="auto"/>
        <w:ind w:firstLine="160" w:firstLineChars="67"/>
        <w:rPr>
          <w:rFonts w:ascii="仿宋" w:hAnsi="仿宋" w:eastAsia="仿宋" w:cs="仿宋"/>
          <w:highlight w:val="none"/>
        </w:rPr>
      </w:pPr>
      <w:r>
        <w:rPr>
          <w:rFonts w:hint="eastAsia" w:cs="仿宋"/>
          <w:highlight w:val="none"/>
        </w:rPr>
        <w:t>注：若无商务或技术偏差，本表可不填。</w:t>
      </w:r>
    </w:p>
    <w:p w14:paraId="4B569DBF">
      <w:pPr>
        <w:shd w:val="clear"/>
        <w:spacing w:line="360" w:lineRule="auto"/>
        <w:ind w:firstLine="4560" w:firstLineChars="1900"/>
        <w:rPr>
          <w:rFonts w:hint="eastAsia" w:cs="仿宋"/>
          <w:highlight w:val="none"/>
        </w:rPr>
      </w:pPr>
      <w:r>
        <w:rPr>
          <w:rFonts w:hint="eastAsia" w:cs="仿宋"/>
          <w:highlight w:val="none"/>
        </w:rPr>
        <w:t>投标人：（盖单位章）</w:t>
      </w:r>
    </w:p>
    <w:p w14:paraId="2CC68F57">
      <w:pPr>
        <w:shd w:val="clear"/>
        <w:spacing w:line="360" w:lineRule="auto"/>
        <w:ind w:firstLine="4560" w:firstLineChars="1900"/>
        <w:rPr>
          <w:rFonts w:hint="eastAsia" w:cs="仿宋"/>
          <w:highlight w:val="none"/>
        </w:rPr>
      </w:pPr>
      <w:r>
        <w:rPr>
          <w:rFonts w:hint="eastAsia" w:cs="仿宋"/>
          <w:highlight w:val="none"/>
        </w:rPr>
        <w:t>法定代表人或其委托代理人：（签字）</w:t>
      </w:r>
    </w:p>
    <w:p w14:paraId="628D817C">
      <w:pPr>
        <w:shd w:val="clear"/>
        <w:spacing w:line="360" w:lineRule="auto"/>
        <w:ind w:firstLine="4560" w:firstLineChars="1900"/>
        <w:rPr>
          <w:rFonts w:hint="eastAsia" w:cs="仿宋"/>
          <w:highlight w:val="none"/>
        </w:rPr>
      </w:pPr>
      <w:r>
        <w:rPr>
          <w:rFonts w:hint="eastAsia" w:cs="仿宋"/>
          <w:highlight w:val="none"/>
        </w:rPr>
        <w:t>年月日</w:t>
      </w:r>
    </w:p>
    <w:p w14:paraId="67FD48F9">
      <w:pPr>
        <w:shd w:val="clear"/>
        <w:spacing w:line="360" w:lineRule="auto"/>
        <w:ind w:firstLine="6960" w:firstLineChars="2900"/>
        <w:rPr>
          <w:rFonts w:ascii="仿宋" w:hAnsi="仿宋" w:eastAsia="仿宋" w:cs="仿宋"/>
          <w:highlight w:val="none"/>
        </w:rPr>
      </w:pPr>
    </w:p>
    <w:p w14:paraId="08499B90">
      <w:pPr>
        <w:pStyle w:val="58"/>
        <w:shd w:val="clear"/>
        <w:jc w:val="center"/>
        <w:rPr>
          <w:highlight w:val="none"/>
        </w:rPr>
      </w:pPr>
    </w:p>
    <w:p w14:paraId="1E4AB1DE">
      <w:pPr>
        <w:pStyle w:val="58"/>
        <w:shd w:val="clear"/>
        <w:jc w:val="center"/>
        <w:rPr>
          <w:rFonts w:hint="eastAsia"/>
          <w:highlight w:val="none"/>
        </w:rPr>
      </w:pPr>
      <w:bookmarkStart w:id="202" w:name="_Toc508871760"/>
    </w:p>
    <w:p w14:paraId="66338F02">
      <w:pPr>
        <w:pStyle w:val="58"/>
        <w:shd w:val="clear"/>
        <w:rPr>
          <w:rFonts w:hint="eastAsia"/>
          <w:highlight w:val="none"/>
        </w:rPr>
      </w:pPr>
      <w:bookmarkStart w:id="203" w:name="_Toc27227_WPSOffice_Level1"/>
      <w:bookmarkStart w:id="204" w:name="_Toc31960_WPSOffice_Level1"/>
      <w:r>
        <w:rPr>
          <w:rFonts w:hint="eastAsia"/>
          <w:highlight w:val="none"/>
          <w:lang w:val="en-US" w:eastAsia="zh-CN"/>
        </w:rPr>
        <w:t>8</w:t>
      </w:r>
      <w:r>
        <w:rPr>
          <w:rFonts w:hint="eastAsia"/>
          <w:highlight w:val="none"/>
        </w:rPr>
        <w:t>、投标人认为应补充的其他资料</w:t>
      </w:r>
      <w:bookmarkEnd w:id="199"/>
      <w:bookmarkEnd w:id="200"/>
      <w:bookmarkEnd w:id="201"/>
      <w:bookmarkEnd w:id="202"/>
      <w:bookmarkEnd w:id="203"/>
      <w:bookmarkEnd w:id="204"/>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B1CE">
    <w:pPr>
      <w:pStyle w:val="30"/>
      <w:tabs>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C25263">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C25263">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0CD8">
    <w:pPr>
      <w:pStyle w:val="30"/>
      <w:tabs>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3436C8">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A3436C8">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C4C3">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25</w:t>
    </w:r>
    <w:r>
      <w:fldChar w:fldCharType="end"/>
    </w:r>
  </w:p>
  <w:p w14:paraId="329C4FAD">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5D4E">
    <w:pPr>
      <w:pStyle w:val="30"/>
      <w:framePr w:wrap="around" w:vAnchor="text" w:hAnchor="margin" w:xAlign="center" w:y="1"/>
      <w:rPr>
        <w:rStyle w:val="50"/>
      </w:rPr>
    </w:pPr>
    <w:r>
      <w:fldChar w:fldCharType="begin"/>
    </w:r>
    <w:r>
      <w:rPr>
        <w:rStyle w:val="50"/>
      </w:rPr>
      <w:instrText xml:space="preserve">PAGE  </w:instrText>
    </w:r>
    <w:r>
      <w:fldChar w:fldCharType="end"/>
    </w:r>
  </w:p>
  <w:p w14:paraId="7236560D">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82E0">
    <w:pPr>
      <w:rPr>
        <w:sz w:val="2"/>
        <w:szCs w:val="2"/>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D51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4D51D5">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9673590</wp:posOffset>
              </wp:positionV>
              <wp:extent cx="114935" cy="1549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a:effectLst/>
                    </wps:spPr>
                    <wps:txbx>
                      <w:txbxContent>
                        <w:p w14:paraId="462FBFDC"/>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00.25pt;margin-top:761.7pt;height:12.2pt;width:9.05pt;mso-position-horizontal-relative:page;mso-position-vertical-relative:page;mso-wrap-style:none;z-index:-251657216;mso-width-relative:page;mso-height-relative:page;" filled="f" stroked="f" coordsize="21600,21600" o:gfxdata="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KtlEfYAAAADQEAAA8AAAAAAAAAAQAg&#10;AAAAIgAAAGRycy9kb3ducmV2LnhtbFBLAQIUABQAAAAIAIdO4kBScHXYDgIAABAEAAAOAAAAAAAA&#10;AAEAIAAAACcBAABkcnMvZTJvRG9jLnhtbFBLBQYAAAAABgAGAFkBAACnBQAAAAA=&#10;">
              <v:fill on="f" focussize="0,0"/>
              <v:stroke on="f"/>
              <v:imagedata o:title=""/>
              <o:lock v:ext="edit" aspectratio="f"/>
              <v:textbox inset="0mm,0mm,0mm,0mm" style="mso-fit-shape-to-text:t;">
                <w:txbxContent>
                  <w:p w14:paraId="462FBFDC"/>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FD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67"/>
      <w:lvlText w:val="（%1）"/>
      <w:lvlJc w:val="left"/>
      <w:pPr>
        <w:tabs>
          <w:tab w:val="left" w:pos="1200"/>
        </w:tabs>
        <w:ind w:left="1200" w:hanging="7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jkzYWNlZTUyOWJkNzc0NWJhZjZjMGI2ODk4NTQifQ=="/>
  </w:docVars>
  <w:rsids>
    <w:rsidRoot w:val="00172A27"/>
    <w:rsid w:val="000005B4"/>
    <w:rsid w:val="00000B07"/>
    <w:rsid w:val="00000E24"/>
    <w:rsid w:val="000010DF"/>
    <w:rsid w:val="000014B1"/>
    <w:rsid w:val="00001C2B"/>
    <w:rsid w:val="00001D8C"/>
    <w:rsid w:val="00001E66"/>
    <w:rsid w:val="00002256"/>
    <w:rsid w:val="000024DC"/>
    <w:rsid w:val="00002E3C"/>
    <w:rsid w:val="00003011"/>
    <w:rsid w:val="000031D6"/>
    <w:rsid w:val="00003666"/>
    <w:rsid w:val="0000484B"/>
    <w:rsid w:val="000051FA"/>
    <w:rsid w:val="00005213"/>
    <w:rsid w:val="00005803"/>
    <w:rsid w:val="00005A71"/>
    <w:rsid w:val="00005FC3"/>
    <w:rsid w:val="00006271"/>
    <w:rsid w:val="00006372"/>
    <w:rsid w:val="00006892"/>
    <w:rsid w:val="00006945"/>
    <w:rsid w:val="00006966"/>
    <w:rsid w:val="00006B71"/>
    <w:rsid w:val="00006D24"/>
    <w:rsid w:val="000072D9"/>
    <w:rsid w:val="000073CB"/>
    <w:rsid w:val="000073D1"/>
    <w:rsid w:val="00007405"/>
    <w:rsid w:val="000101F6"/>
    <w:rsid w:val="00010A4A"/>
    <w:rsid w:val="00010A4D"/>
    <w:rsid w:val="00010AD0"/>
    <w:rsid w:val="00010EDF"/>
    <w:rsid w:val="00011002"/>
    <w:rsid w:val="00011034"/>
    <w:rsid w:val="0001111F"/>
    <w:rsid w:val="000119AF"/>
    <w:rsid w:val="00011BE9"/>
    <w:rsid w:val="00011D0F"/>
    <w:rsid w:val="00011F0A"/>
    <w:rsid w:val="000124CC"/>
    <w:rsid w:val="0001256A"/>
    <w:rsid w:val="0001262C"/>
    <w:rsid w:val="000129F7"/>
    <w:rsid w:val="00013001"/>
    <w:rsid w:val="00013B10"/>
    <w:rsid w:val="00013F9F"/>
    <w:rsid w:val="00014073"/>
    <w:rsid w:val="00014717"/>
    <w:rsid w:val="00014DFC"/>
    <w:rsid w:val="00014E31"/>
    <w:rsid w:val="00014F89"/>
    <w:rsid w:val="000151C5"/>
    <w:rsid w:val="00015261"/>
    <w:rsid w:val="00015339"/>
    <w:rsid w:val="000156FA"/>
    <w:rsid w:val="00016615"/>
    <w:rsid w:val="000169BE"/>
    <w:rsid w:val="00016C2E"/>
    <w:rsid w:val="00016C4E"/>
    <w:rsid w:val="0001748F"/>
    <w:rsid w:val="000175FA"/>
    <w:rsid w:val="0001776E"/>
    <w:rsid w:val="00017B32"/>
    <w:rsid w:val="00020002"/>
    <w:rsid w:val="0002010A"/>
    <w:rsid w:val="000201A4"/>
    <w:rsid w:val="000209E9"/>
    <w:rsid w:val="00020DBF"/>
    <w:rsid w:val="000211EE"/>
    <w:rsid w:val="00021419"/>
    <w:rsid w:val="00021B05"/>
    <w:rsid w:val="00021BC9"/>
    <w:rsid w:val="00021DF2"/>
    <w:rsid w:val="0002202B"/>
    <w:rsid w:val="00022932"/>
    <w:rsid w:val="00022B1F"/>
    <w:rsid w:val="00022DE5"/>
    <w:rsid w:val="00022EB3"/>
    <w:rsid w:val="00022F46"/>
    <w:rsid w:val="0002305E"/>
    <w:rsid w:val="000230C1"/>
    <w:rsid w:val="000236BD"/>
    <w:rsid w:val="00023805"/>
    <w:rsid w:val="000239BC"/>
    <w:rsid w:val="00023B44"/>
    <w:rsid w:val="00023F4A"/>
    <w:rsid w:val="000245CE"/>
    <w:rsid w:val="00024793"/>
    <w:rsid w:val="00024F92"/>
    <w:rsid w:val="000253BA"/>
    <w:rsid w:val="00025B4E"/>
    <w:rsid w:val="00025F21"/>
    <w:rsid w:val="00025F90"/>
    <w:rsid w:val="000260D0"/>
    <w:rsid w:val="00026533"/>
    <w:rsid w:val="00026F5F"/>
    <w:rsid w:val="00027362"/>
    <w:rsid w:val="000274FA"/>
    <w:rsid w:val="0002763D"/>
    <w:rsid w:val="000276E8"/>
    <w:rsid w:val="000276FC"/>
    <w:rsid w:val="00027ABD"/>
    <w:rsid w:val="00027DCE"/>
    <w:rsid w:val="000300CF"/>
    <w:rsid w:val="00030F35"/>
    <w:rsid w:val="000318B3"/>
    <w:rsid w:val="00031D68"/>
    <w:rsid w:val="00032074"/>
    <w:rsid w:val="000324A6"/>
    <w:rsid w:val="000324AA"/>
    <w:rsid w:val="00032E07"/>
    <w:rsid w:val="00033272"/>
    <w:rsid w:val="00033311"/>
    <w:rsid w:val="0003338B"/>
    <w:rsid w:val="00033BDB"/>
    <w:rsid w:val="00033C6E"/>
    <w:rsid w:val="0003492D"/>
    <w:rsid w:val="00034A63"/>
    <w:rsid w:val="00034DEE"/>
    <w:rsid w:val="00034FFC"/>
    <w:rsid w:val="000353DA"/>
    <w:rsid w:val="00035C79"/>
    <w:rsid w:val="00035C9A"/>
    <w:rsid w:val="00035E61"/>
    <w:rsid w:val="00036284"/>
    <w:rsid w:val="0003636D"/>
    <w:rsid w:val="00036D78"/>
    <w:rsid w:val="00037101"/>
    <w:rsid w:val="00037517"/>
    <w:rsid w:val="00037943"/>
    <w:rsid w:val="00037EEC"/>
    <w:rsid w:val="00040399"/>
    <w:rsid w:val="000409A2"/>
    <w:rsid w:val="00040EFC"/>
    <w:rsid w:val="00041534"/>
    <w:rsid w:val="00041906"/>
    <w:rsid w:val="00041AA5"/>
    <w:rsid w:val="00041EC7"/>
    <w:rsid w:val="000421BC"/>
    <w:rsid w:val="0004256B"/>
    <w:rsid w:val="000426FA"/>
    <w:rsid w:val="0004298A"/>
    <w:rsid w:val="00042A76"/>
    <w:rsid w:val="0004304B"/>
    <w:rsid w:val="00043229"/>
    <w:rsid w:val="00043394"/>
    <w:rsid w:val="00043424"/>
    <w:rsid w:val="0004381E"/>
    <w:rsid w:val="00043A30"/>
    <w:rsid w:val="00043BDE"/>
    <w:rsid w:val="00043C75"/>
    <w:rsid w:val="00043F14"/>
    <w:rsid w:val="000444A8"/>
    <w:rsid w:val="00044689"/>
    <w:rsid w:val="000462DC"/>
    <w:rsid w:val="0004667B"/>
    <w:rsid w:val="00047032"/>
    <w:rsid w:val="0005080F"/>
    <w:rsid w:val="00050C85"/>
    <w:rsid w:val="0005130E"/>
    <w:rsid w:val="000514BD"/>
    <w:rsid w:val="00051C2F"/>
    <w:rsid w:val="00051E12"/>
    <w:rsid w:val="00051E9A"/>
    <w:rsid w:val="000521A6"/>
    <w:rsid w:val="000525A2"/>
    <w:rsid w:val="00052C17"/>
    <w:rsid w:val="00052D23"/>
    <w:rsid w:val="00052D74"/>
    <w:rsid w:val="00052E51"/>
    <w:rsid w:val="00052F08"/>
    <w:rsid w:val="00053732"/>
    <w:rsid w:val="00053929"/>
    <w:rsid w:val="00053C48"/>
    <w:rsid w:val="00053D7C"/>
    <w:rsid w:val="00053FBC"/>
    <w:rsid w:val="00054583"/>
    <w:rsid w:val="000547CE"/>
    <w:rsid w:val="00054842"/>
    <w:rsid w:val="00054C75"/>
    <w:rsid w:val="00054DB3"/>
    <w:rsid w:val="0005555E"/>
    <w:rsid w:val="000562FE"/>
    <w:rsid w:val="0005634E"/>
    <w:rsid w:val="000573D9"/>
    <w:rsid w:val="00057665"/>
    <w:rsid w:val="00057BB7"/>
    <w:rsid w:val="0006062A"/>
    <w:rsid w:val="00060A40"/>
    <w:rsid w:val="00060A6D"/>
    <w:rsid w:val="00060CC6"/>
    <w:rsid w:val="000613F2"/>
    <w:rsid w:val="000615FB"/>
    <w:rsid w:val="00061E0C"/>
    <w:rsid w:val="000620CB"/>
    <w:rsid w:val="000631EA"/>
    <w:rsid w:val="0006350A"/>
    <w:rsid w:val="000637A3"/>
    <w:rsid w:val="00063ED9"/>
    <w:rsid w:val="00064071"/>
    <w:rsid w:val="000645F0"/>
    <w:rsid w:val="0006460A"/>
    <w:rsid w:val="00064ABE"/>
    <w:rsid w:val="00064C17"/>
    <w:rsid w:val="00064C96"/>
    <w:rsid w:val="00064CBA"/>
    <w:rsid w:val="00065387"/>
    <w:rsid w:val="00065623"/>
    <w:rsid w:val="00065720"/>
    <w:rsid w:val="000659B8"/>
    <w:rsid w:val="00065A50"/>
    <w:rsid w:val="00065C47"/>
    <w:rsid w:val="00066077"/>
    <w:rsid w:val="00066222"/>
    <w:rsid w:val="00066368"/>
    <w:rsid w:val="000664F0"/>
    <w:rsid w:val="00067088"/>
    <w:rsid w:val="000672B7"/>
    <w:rsid w:val="000679AF"/>
    <w:rsid w:val="0007029A"/>
    <w:rsid w:val="000703F0"/>
    <w:rsid w:val="000707EC"/>
    <w:rsid w:val="00070B46"/>
    <w:rsid w:val="00070C0E"/>
    <w:rsid w:val="00071720"/>
    <w:rsid w:val="00071C07"/>
    <w:rsid w:val="00071E56"/>
    <w:rsid w:val="00071EFD"/>
    <w:rsid w:val="000721AC"/>
    <w:rsid w:val="000723E7"/>
    <w:rsid w:val="0007243E"/>
    <w:rsid w:val="0007252B"/>
    <w:rsid w:val="00072F21"/>
    <w:rsid w:val="000740A0"/>
    <w:rsid w:val="00074319"/>
    <w:rsid w:val="0007515A"/>
    <w:rsid w:val="0007569B"/>
    <w:rsid w:val="00075E72"/>
    <w:rsid w:val="00076696"/>
    <w:rsid w:val="00076784"/>
    <w:rsid w:val="00076A01"/>
    <w:rsid w:val="0007712C"/>
    <w:rsid w:val="00077199"/>
    <w:rsid w:val="00077219"/>
    <w:rsid w:val="00077707"/>
    <w:rsid w:val="00077B3C"/>
    <w:rsid w:val="00077DE9"/>
    <w:rsid w:val="00077F52"/>
    <w:rsid w:val="00080A0F"/>
    <w:rsid w:val="00080C1F"/>
    <w:rsid w:val="00080DF8"/>
    <w:rsid w:val="000811DE"/>
    <w:rsid w:val="000814AE"/>
    <w:rsid w:val="000819D7"/>
    <w:rsid w:val="00081BCB"/>
    <w:rsid w:val="00082122"/>
    <w:rsid w:val="00082397"/>
    <w:rsid w:val="000834C0"/>
    <w:rsid w:val="000834C8"/>
    <w:rsid w:val="000838D8"/>
    <w:rsid w:val="00083B20"/>
    <w:rsid w:val="00083E3B"/>
    <w:rsid w:val="000841E8"/>
    <w:rsid w:val="00084696"/>
    <w:rsid w:val="00084B4A"/>
    <w:rsid w:val="00084B75"/>
    <w:rsid w:val="00084BB8"/>
    <w:rsid w:val="00084F26"/>
    <w:rsid w:val="00085201"/>
    <w:rsid w:val="00085C66"/>
    <w:rsid w:val="00085D47"/>
    <w:rsid w:val="000864C0"/>
    <w:rsid w:val="0008686F"/>
    <w:rsid w:val="00086E57"/>
    <w:rsid w:val="00087001"/>
    <w:rsid w:val="00087057"/>
    <w:rsid w:val="0008760A"/>
    <w:rsid w:val="000877D4"/>
    <w:rsid w:val="0008782C"/>
    <w:rsid w:val="00087A10"/>
    <w:rsid w:val="00087E6C"/>
    <w:rsid w:val="00087E81"/>
    <w:rsid w:val="00090628"/>
    <w:rsid w:val="00090A40"/>
    <w:rsid w:val="000914C3"/>
    <w:rsid w:val="00091880"/>
    <w:rsid w:val="00091925"/>
    <w:rsid w:val="00091AA0"/>
    <w:rsid w:val="00092168"/>
    <w:rsid w:val="0009277E"/>
    <w:rsid w:val="0009301A"/>
    <w:rsid w:val="0009326F"/>
    <w:rsid w:val="00093436"/>
    <w:rsid w:val="00093B80"/>
    <w:rsid w:val="00094023"/>
    <w:rsid w:val="0009438B"/>
    <w:rsid w:val="000945CB"/>
    <w:rsid w:val="00094646"/>
    <w:rsid w:val="0009475E"/>
    <w:rsid w:val="00094AD9"/>
    <w:rsid w:val="00094B44"/>
    <w:rsid w:val="00094B60"/>
    <w:rsid w:val="00095147"/>
    <w:rsid w:val="00095A42"/>
    <w:rsid w:val="00095BB3"/>
    <w:rsid w:val="00095D9E"/>
    <w:rsid w:val="00095E23"/>
    <w:rsid w:val="000960A9"/>
    <w:rsid w:val="00096353"/>
    <w:rsid w:val="00096E8D"/>
    <w:rsid w:val="00097A77"/>
    <w:rsid w:val="000A06F4"/>
    <w:rsid w:val="000A06F5"/>
    <w:rsid w:val="000A0911"/>
    <w:rsid w:val="000A1081"/>
    <w:rsid w:val="000A1F8C"/>
    <w:rsid w:val="000A20A7"/>
    <w:rsid w:val="000A261D"/>
    <w:rsid w:val="000A2869"/>
    <w:rsid w:val="000A29ED"/>
    <w:rsid w:val="000A2A5D"/>
    <w:rsid w:val="000A2E62"/>
    <w:rsid w:val="000A326B"/>
    <w:rsid w:val="000A3734"/>
    <w:rsid w:val="000A3AB5"/>
    <w:rsid w:val="000A3D0F"/>
    <w:rsid w:val="000A46D4"/>
    <w:rsid w:val="000A4DC6"/>
    <w:rsid w:val="000A4F3F"/>
    <w:rsid w:val="000A4F88"/>
    <w:rsid w:val="000A506A"/>
    <w:rsid w:val="000A50F5"/>
    <w:rsid w:val="000A5370"/>
    <w:rsid w:val="000A53B9"/>
    <w:rsid w:val="000A5AC8"/>
    <w:rsid w:val="000A5AF9"/>
    <w:rsid w:val="000A5BAB"/>
    <w:rsid w:val="000A6117"/>
    <w:rsid w:val="000A6201"/>
    <w:rsid w:val="000A6844"/>
    <w:rsid w:val="000A6A9C"/>
    <w:rsid w:val="000A6D77"/>
    <w:rsid w:val="000A726F"/>
    <w:rsid w:val="000A73A2"/>
    <w:rsid w:val="000A7604"/>
    <w:rsid w:val="000A7813"/>
    <w:rsid w:val="000A7974"/>
    <w:rsid w:val="000A79CA"/>
    <w:rsid w:val="000A7EA0"/>
    <w:rsid w:val="000B037C"/>
    <w:rsid w:val="000B050B"/>
    <w:rsid w:val="000B0946"/>
    <w:rsid w:val="000B1546"/>
    <w:rsid w:val="000B1701"/>
    <w:rsid w:val="000B1F4F"/>
    <w:rsid w:val="000B21E4"/>
    <w:rsid w:val="000B227F"/>
    <w:rsid w:val="000B22C3"/>
    <w:rsid w:val="000B2468"/>
    <w:rsid w:val="000B268C"/>
    <w:rsid w:val="000B2B89"/>
    <w:rsid w:val="000B2B8D"/>
    <w:rsid w:val="000B2D19"/>
    <w:rsid w:val="000B3B9F"/>
    <w:rsid w:val="000B3C03"/>
    <w:rsid w:val="000B404E"/>
    <w:rsid w:val="000B4988"/>
    <w:rsid w:val="000B4C24"/>
    <w:rsid w:val="000B4ED7"/>
    <w:rsid w:val="000B5116"/>
    <w:rsid w:val="000B5577"/>
    <w:rsid w:val="000B65DE"/>
    <w:rsid w:val="000B683E"/>
    <w:rsid w:val="000B70FA"/>
    <w:rsid w:val="000B755C"/>
    <w:rsid w:val="000B7914"/>
    <w:rsid w:val="000B7B75"/>
    <w:rsid w:val="000B7E2A"/>
    <w:rsid w:val="000C04D0"/>
    <w:rsid w:val="000C0578"/>
    <w:rsid w:val="000C0832"/>
    <w:rsid w:val="000C08D7"/>
    <w:rsid w:val="000C0C99"/>
    <w:rsid w:val="000C1291"/>
    <w:rsid w:val="000C14EB"/>
    <w:rsid w:val="000C3081"/>
    <w:rsid w:val="000C30DB"/>
    <w:rsid w:val="000C3492"/>
    <w:rsid w:val="000C36A7"/>
    <w:rsid w:val="000C36D1"/>
    <w:rsid w:val="000C3781"/>
    <w:rsid w:val="000C4265"/>
    <w:rsid w:val="000C4B0D"/>
    <w:rsid w:val="000C4C1A"/>
    <w:rsid w:val="000C4F67"/>
    <w:rsid w:val="000C514B"/>
    <w:rsid w:val="000C52AD"/>
    <w:rsid w:val="000C56B0"/>
    <w:rsid w:val="000C5E39"/>
    <w:rsid w:val="000C6219"/>
    <w:rsid w:val="000C6470"/>
    <w:rsid w:val="000C6492"/>
    <w:rsid w:val="000C7488"/>
    <w:rsid w:val="000C7805"/>
    <w:rsid w:val="000C78F9"/>
    <w:rsid w:val="000C79F7"/>
    <w:rsid w:val="000C7EDB"/>
    <w:rsid w:val="000C7F13"/>
    <w:rsid w:val="000D01DF"/>
    <w:rsid w:val="000D02E8"/>
    <w:rsid w:val="000D0A1B"/>
    <w:rsid w:val="000D14F6"/>
    <w:rsid w:val="000D1A7E"/>
    <w:rsid w:val="000D1CE2"/>
    <w:rsid w:val="000D1E32"/>
    <w:rsid w:val="000D1EF0"/>
    <w:rsid w:val="000D2266"/>
    <w:rsid w:val="000D2272"/>
    <w:rsid w:val="000D26C3"/>
    <w:rsid w:val="000D289B"/>
    <w:rsid w:val="000D2A49"/>
    <w:rsid w:val="000D2A73"/>
    <w:rsid w:val="000D38FA"/>
    <w:rsid w:val="000D3A96"/>
    <w:rsid w:val="000D3B1B"/>
    <w:rsid w:val="000D41E3"/>
    <w:rsid w:val="000D48A0"/>
    <w:rsid w:val="000D5749"/>
    <w:rsid w:val="000D601F"/>
    <w:rsid w:val="000D6112"/>
    <w:rsid w:val="000D680B"/>
    <w:rsid w:val="000D69EA"/>
    <w:rsid w:val="000D6EEC"/>
    <w:rsid w:val="000D73D2"/>
    <w:rsid w:val="000D7472"/>
    <w:rsid w:val="000D787D"/>
    <w:rsid w:val="000D7C5C"/>
    <w:rsid w:val="000D7ECD"/>
    <w:rsid w:val="000E11D3"/>
    <w:rsid w:val="000E1B84"/>
    <w:rsid w:val="000E1BA3"/>
    <w:rsid w:val="000E295A"/>
    <w:rsid w:val="000E2ADD"/>
    <w:rsid w:val="000E2B82"/>
    <w:rsid w:val="000E2D1A"/>
    <w:rsid w:val="000E3193"/>
    <w:rsid w:val="000E3605"/>
    <w:rsid w:val="000E3C9C"/>
    <w:rsid w:val="000E4370"/>
    <w:rsid w:val="000E4997"/>
    <w:rsid w:val="000E4B9E"/>
    <w:rsid w:val="000E4F2E"/>
    <w:rsid w:val="000E5390"/>
    <w:rsid w:val="000E5789"/>
    <w:rsid w:val="000E6355"/>
    <w:rsid w:val="000E63FA"/>
    <w:rsid w:val="000E64FC"/>
    <w:rsid w:val="000E65C5"/>
    <w:rsid w:val="000E6910"/>
    <w:rsid w:val="000E6D1D"/>
    <w:rsid w:val="000E6EC5"/>
    <w:rsid w:val="000E7036"/>
    <w:rsid w:val="000E7523"/>
    <w:rsid w:val="000E7682"/>
    <w:rsid w:val="000E7F3E"/>
    <w:rsid w:val="000F0044"/>
    <w:rsid w:val="000F058A"/>
    <w:rsid w:val="000F13FA"/>
    <w:rsid w:val="000F1896"/>
    <w:rsid w:val="000F1BC0"/>
    <w:rsid w:val="000F2772"/>
    <w:rsid w:val="000F28A6"/>
    <w:rsid w:val="000F2F36"/>
    <w:rsid w:val="000F3419"/>
    <w:rsid w:val="000F3456"/>
    <w:rsid w:val="000F34AC"/>
    <w:rsid w:val="000F386D"/>
    <w:rsid w:val="000F3F9F"/>
    <w:rsid w:val="000F4270"/>
    <w:rsid w:val="000F4722"/>
    <w:rsid w:val="000F4BBB"/>
    <w:rsid w:val="000F50A6"/>
    <w:rsid w:val="000F53A3"/>
    <w:rsid w:val="000F53B6"/>
    <w:rsid w:val="000F6143"/>
    <w:rsid w:val="000F621B"/>
    <w:rsid w:val="000F7234"/>
    <w:rsid w:val="000F7544"/>
    <w:rsid w:val="00100045"/>
    <w:rsid w:val="001009C2"/>
    <w:rsid w:val="00100AFB"/>
    <w:rsid w:val="00100E0F"/>
    <w:rsid w:val="00102401"/>
    <w:rsid w:val="001025F7"/>
    <w:rsid w:val="001029E2"/>
    <w:rsid w:val="00102A9D"/>
    <w:rsid w:val="00102E6F"/>
    <w:rsid w:val="00103037"/>
    <w:rsid w:val="001046D3"/>
    <w:rsid w:val="0010495C"/>
    <w:rsid w:val="001055B7"/>
    <w:rsid w:val="00105C65"/>
    <w:rsid w:val="0010635E"/>
    <w:rsid w:val="00106400"/>
    <w:rsid w:val="00106508"/>
    <w:rsid w:val="001067BD"/>
    <w:rsid w:val="0010681D"/>
    <w:rsid w:val="001068E3"/>
    <w:rsid w:val="001069D1"/>
    <w:rsid w:val="00106FA2"/>
    <w:rsid w:val="001071D5"/>
    <w:rsid w:val="001072A0"/>
    <w:rsid w:val="0010732A"/>
    <w:rsid w:val="001074EC"/>
    <w:rsid w:val="0010757E"/>
    <w:rsid w:val="0010766C"/>
    <w:rsid w:val="0011113E"/>
    <w:rsid w:val="0011143F"/>
    <w:rsid w:val="00111B8E"/>
    <w:rsid w:val="00111D39"/>
    <w:rsid w:val="0011215C"/>
    <w:rsid w:val="00112288"/>
    <w:rsid w:val="001124AA"/>
    <w:rsid w:val="001124B4"/>
    <w:rsid w:val="0011322D"/>
    <w:rsid w:val="00113242"/>
    <w:rsid w:val="0011327A"/>
    <w:rsid w:val="00113526"/>
    <w:rsid w:val="001135A9"/>
    <w:rsid w:val="00113A65"/>
    <w:rsid w:val="001147B6"/>
    <w:rsid w:val="00114A09"/>
    <w:rsid w:val="00114AB5"/>
    <w:rsid w:val="00114CBA"/>
    <w:rsid w:val="001156A6"/>
    <w:rsid w:val="00115953"/>
    <w:rsid w:val="00115ED3"/>
    <w:rsid w:val="0011701F"/>
    <w:rsid w:val="001173E2"/>
    <w:rsid w:val="00117582"/>
    <w:rsid w:val="0011772F"/>
    <w:rsid w:val="0011777A"/>
    <w:rsid w:val="00117E0C"/>
    <w:rsid w:val="00117E23"/>
    <w:rsid w:val="001209DC"/>
    <w:rsid w:val="00120D07"/>
    <w:rsid w:val="00120EE7"/>
    <w:rsid w:val="001210E4"/>
    <w:rsid w:val="001219C1"/>
    <w:rsid w:val="00121EE3"/>
    <w:rsid w:val="001224F8"/>
    <w:rsid w:val="001227B6"/>
    <w:rsid w:val="001228A9"/>
    <w:rsid w:val="001229E7"/>
    <w:rsid w:val="00122C3A"/>
    <w:rsid w:val="00122CF2"/>
    <w:rsid w:val="0012308C"/>
    <w:rsid w:val="00123130"/>
    <w:rsid w:val="001233D9"/>
    <w:rsid w:val="00123A4F"/>
    <w:rsid w:val="00123E2F"/>
    <w:rsid w:val="001242CB"/>
    <w:rsid w:val="0012470B"/>
    <w:rsid w:val="00124CCB"/>
    <w:rsid w:val="00124F1A"/>
    <w:rsid w:val="0012509E"/>
    <w:rsid w:val="00125431"/>
    <w:rsid w:val="00125596"/>
    <w:rsid w:val="00125C91"/>
    <w:rsid w:val="0012640C"/>
    <w:rsid w:val="0012686A"/>
    <w:rsid w:val="0012694E"/>
    <w:rsid w:val="00126E77"/>
    <w:rsid w:val="001271CA"/>
    <w:rsid w:val="00127347"/>
    <w:rsid w:val="0012768F"/>
    <w:rsid w:val="00127853"/>
    <w:rsid w:val="0012798B"/>
    <w:rsid w:val="00127AC5"/>
    <w:rsid w:val="001305EA"/>
    <w:rsid w:val="00130AE3"/>
    <w:rsid w:val="00130DAD"/>
    <w:rsid w:val="0013140D"/>
    <w:rsid w:val="00131734"/>
    <w:rsid w:val="00131A4A"/>
    <w:rsid w:val="00131BE3"/>
    <w:rsid w:val="00132516"/>
    <w:rsid w:val="00132AAD"/>
    <w:rsid w:val="00133597"/>
    <w:rsid w:val="001335AC"/>
    <w:rsid w:val="00133C4E"/>
    <w:rsid w:val="00134426"/>
    <w:rsid w:val="0013486F"/>
    <w:rsid w:val="00134B16"/>
    <w:rsid w:val="00134B6E"/>
    <w:rsid w:val="00134FAA"/>
    <w:rsid w:val="0013509D"/>
    <w:rsid w:val="0013510B"/>
    <w:rsid w:val="00135133"/>
    <w:rsid w:val="0013559F"/>
    <w:rsid w:val="00135977"/>
    <w:rsid w:val="00136038"/>
    <w:rsid w:val="001369F1"/>
    <w:rsid w:val="00136A9B"/>
    <w:rsid w:val="00137579"/>
    <w:rsid w:val="001403E5"/>
    <w:rsid w:val="001404CB"/>
    <w:rsid w:val="00140951"/>
    <w:rsid w:val="00140E98"/>
    <w:rsid w:val="00140F1D"/>
    <w:rsid w:val="00141106"/>
    <w:rsid w:val="00141625"/>
    <w:rsid w:val="001423E9"/>
    <w:rsid w:val="001426E4"/>
    <w:rsid w:val="0014305F"/>
    <w:rsid w:val="00143B1F"/>
    <w:rsid w:val="00143C65"/>
    <w:rsid w:val="00143E2F"/>
    <w:rsid w:val="00143E59"/>
    <w:rsid w:val="001443D5"/>
    <w:rsid w:val="0014492B"/>
    <w:rsid w:val="00144A80"/>
    <w:rsid w:val="00145656"/>
    <w:rsid w:val="001459FA"/>
    <w:rsid w:val="00145A4E"/>
    <w:rsid w:val="00145A61"/>
    <w:rsid w:val="00145E95"/>
    <w:rsid w:val="00145EF2"/>
    <w:rsid w:val="00146396"/>
    <w:rsid w:val="00147867"/>
    <w:rsid w:val="001500C0"/>
    <w:rsid w:val="0015015B"/>
    <w:rsid w:val="00150186"/>
    <w:rsid w:val="001504BA"/>
    <w:rsid w:val="0015064D"/>
    <w:rsid w:val="001507F8"/>
    <w:rsid w:val="0015093C"/>
    <w:rsid w:val="00150A86"/>
    <w:rsid w:val="00150E15"/>
    <w:rsid w:val="00151029"/>
    <w:rsid w:val="001511BD"/>
    <w:rsid w:val="0015135C"/>
    <w:rsid w:val="001517DA"/>
    <w:rsid w:val="00151A98"/>
    <w:rsid w:val="00151BBF"/>
    <w:rsid w:val="00151FE0"/>
    <w:rsid w:val="001520C9"/>
    <w:rsid w:val="001528FC"/>
    <w:rsid w:val="001529C2"/>
    <w:rsid w:val="00152A61"/>
    <w:rsid w:val="00152AD4"/>
    <w:rsid w:val="00152E48"/>
    <w:rsid w:val="00153280"/>
    <w:rsid w:val="00153489"/>
    <w:rsid w:val="00153788"/>
    <w:rsid w:val="001537DC"/>
    <w:rsid w:val="00153BF0"/>
    <w:rsid w:val="00153D39"/>
    <w:rsid w:val="00154352"/>
    <w:rsid w:val="001546C7"/>
    <w:rsid w:val="0015505E"/>
    <w:rsid w:val="0015615E"/>
    <w:rsid w:val="001562E6"/>
    <w:rsid w:val="001565EB"/>
    <w:rsid w:val="00156D76"/>
    <w:rsid w:val="00156DCD"/>
    <w:rsid w:val="001575FE"/>
    <w:rsid w:val="0015793C"/>
    <w:rsid w:val="00157941"/>
    <w:rsid w:val="00157B65"/>
    <w:rsid w:val="00157F18"/>
    <w:rsid w:val="001600B3"/>
    <w:rsid w:val="00160485"/>
    <w:rsid w:val="00160827"/>
    <w:rsid w:val="001608D0"/>
    <w:rsid w:val="00160D19"/>
    <w:rsid w:val="00161343"/>
    <w:rsid w:val="0016192B"/>
    <w:rsid w:val="00161ADE"/>
    <w:rsid w:val="00161E60"/>
    <w:rsid w:val="001627D8"/>
    <w:rsid w:val="001627F9"/>
    <w:rsid w:val="00162889"/>
    <w:rsid w:val="001628EA"/>
    <w:rsid w:val="00162C82"/>
    <w:rsid w:val="00162E36"/>
    <w:rsid w:val="00162F5C"/>
    <w:rsid w:val="00162FE0"/>
    <w:rsid w:val="00163ECB"/>
    <w:rsid w:val="001644CA"/>
    <w:rsid w:val="001648CD"/>
    <w:rsid w:val="001649CD"/>
    <w:rsid w:val="00164EC7"/>
    <w:rsid w:val="001651E2"/>
    <w:rsid w:val="00165EE8"/>
    <w:rsid w:val="00166B89"/>
    <w:rsid w:val="00166BB6"/>
    <w:rsid w:val="00166CDA"/>
    <w:rsid w:val="00166EC2"/>
    <w:rsid w:val="00166F2D"/>
    <w:rsid w:val="00167180"/>
    <w:rsid w:val="00167245"/>
    <w:rsid w:val="00167610"/>
    <w:rsid w:val="00167684"/>
    <w:rsid w:val="001677C0"/>
    <w:rsid w:val="00167C58"/>
    <w:rsid w:val="00167C5D"/>
    <w:rsid w:val="00167F0C"/>
    <w:rsid w:val="001708A2"/>
    <w:rsid w:val="001712B1"/>
    <w:rsid w:val="00171497"/>
    <w:rsid w:val="00171588"/>
    <w:rsid w:val="001715D2"/>
    <w:rsid w:val="001715D3"/>
    <w:rsid w:val="00171C0B"/>
    <w:rsid w:val="00171FD2"/>
    <w:rsid w:val="001726C1"/>
    <w:rsid w:val="00172703"/>
    <w:rsid w:val="00172981"/>
    <w:rsid w:val="00173490"/>
    <w:rsid w:val="0017373B"/>
    <w:rsid w:val="00173879"/>
    <w:rsid w:val="00173D4F"/>
    <w:rsid w:val="00174E97"/>
    <w:rsid w:val="00176172"/>
    <w:rsid w:val="00176781"/>
    <w:rsid w:val="001768C6"/>
    <w:rsid w:val="001769CF"/>
    <w:rsid w:val="001770A2"/>
    <w:rsid w:val="0017749B"/>
    <w:rsid w:val="001775B5"/>
    <w:rsid w:val="00180032"/>
    <w:rsid w:val="001807F4"/>
    <w:rsid w:val="00180E0F"/>
    <w:rsid w:val="0018138B"/>
    <w:rsid w:val="001814BF"/>
    <w:rsid w:val="0018177F"/>
    <w:rsid w:val="001817ED"/>
    <w:rsid w:val="00181A52"/>
    <w:rsid w:val="00181A8F"/>
    <w:rsid w:val="00182236"/>
    <w:rsid w:val="0018228A"/>
    <w:rsid w:val="00182EF8"/>
    <w:rsid w:val="0018339E"/>
    <w:rsid w:val="0018364F"/>
    <w:rsid w:val="00183CBC"/>
    <w:rsid w:val="00183E85"/>
    <w:rsid w:val="0018429A"/>
    <w:rsid w:val="001847F0"/>
    <w:rsid w:val="00185426"/>
    <w:rsid w:val="001854C6"/>
    <w:rsid w:val="00185F2A"/>
    <w:rsid w:val="00185F50"/>
    <w:rsid w:val="001861A4"/>
    <w:rsid w:val="0018631C"/>
    <w:rsid w:val="00186437"/>
    <w:rsid w:val="00186AB6"/>
    <w:rsid w:val="00187133"/>
    <w:rsid w:val="00187135"/>
    <w:rsid w:val="001874FC"/>
    <w:rsid w:val="00187706"/>
    <w:rsid w:val="00187A5F"/>
    <w:rsid w:val="00187E21"/>
    <w:rsid w:val="00190BF6"/>
    <w:rsid w:val="00190F4C"/>
    <w:rsid w:val="001911BA"/>
    <w:rsid w:val="00191377"/>
    <w:rsid w:val="001916E5"/>
    <w:rsid w:val="001917DC"/>
    <w:rsid w:val="00191A16"/>
    <w:rsid w:val="00191EE7"/>
    <w:rsid w:val="0019346A"/>
    <w:rsid w:val="001937F6"/>
    <w:rsid w:val="00193ADB"/>
    <w:rsid w:val="00193B43"/>
    <w:rsid w:val="00193FF1"/>
    <w:rsid w:val="00193FF5"/>
    <w:rsid w:val="0019409A"/>
    <w:rsid w:val="00194201"/>
    <w:rsid w:val="0019425F"/>
    <w:rsid w:val="0019446A"/>
    <w:rsid w:val="001945C6"/>
    <w:rsid w:val="001948AC"/>
    <w:rsid w:val="001948BF"/>
    <w:rsid w:val="00194F8A"/>
    <w:rsid w:val="00195593"/>
    <w:rsid w:val="001956A4"/>
    <w:rsid w:val="00195D6D"/>
    <w:rsid w:val="0019620F"/>
    <w:rsid w:val="00196DEB"/>
    <w:rsid w:val="00196E96"/>
    <w:rsid w:val="00196F43"/>
    <w:rsid w:val="00197053"/>
    <w:rsid w:val="001970AD"/>
    <w:rsid w:val="001972F3"/>
    <w:rsid w:val="00197C2E"/>
    <w:rsid w:val="00197DDE"/>
    <w:rsid w:val="00197F67"/>
    <w:rsid w:val="001A0189"/>
    <w:rsid w:val="001A104D"/>
    <w:rsid w:val="001A10CC"/>
    <w:rsid w:val="001A13DD"/>
    <w:rsid w:val="001A17C4"/>
    <w:rsid w:val="001A1800"/>
    <w:rsid w:val="001A1C89"/>
    <w:rsid w:val="001A201D"/>
    <w:rsid w:val="001A2209"/>
    <w:rsid w:val="001A2560"/>
    <w:rsid w:val="001A2A1B"/>
    <w:rsid w:val="001A2E5E"/>
    <w:rsid w:val="001A2F37"/>
    <w:rsid w:val="001A31FA"/>
    <w:rsid w:val="001A3CAD"/>
    <w:rsid w:val="001A487E"/>
    <w:rsid w:val="001A4B7A"/>
    <w:rsid w:val="001A4C30"/>
    <w:rsid w:val="001A4D78"/>
    <w:rsid w:val="001A52D4"/>
    <w:rsid w:val="001A53B0"/>
    <w:rsid w:val="001A53DF"/>
    <w:rsid w:val="001A5868"/>
    <w:rsid w:val="001A59B5"/>
    <w:rsid w:val="001A6159"/>
    <w:rsid w:val="001A6235"/>
    <w:rsid w:val="001A6301"/>
    <w:rsid w:val="001A71A4"/>
    <w:rsid w:val="001A7230"/>
    <w:rsid w:val="001A7850"/>
    <w:rsid w:val="001B1559"/>
    <w:rsid w:val="001B161B"/>
    <w:rsid w:val="001B2C3B"/>
    <w:rsid w:val="001B39BD"/>
    <w:rsid w:val="001B3CA9"/>
    <w:rsid w:val="001B3E60"/>
    <w:rsid w:val="001B3E9D"/>
    <w:rsid w:val="001B4ABB"/>
    <w:rsid w:val="001B4B68"/>
    <w:rsid w:val="001B4F41"/>
    <w:rsid w:val="001B557C"/>
    <w:rsid w:val="001B5A9C"/>
    <w:rsid w:val="001B5E60"/>
    <w:rsid w:val="001B61D8"/>
    <w:rsid w:val="001B68E0"/>
    <w:rsid w:val="001B6EA9"/>
    <w:rsid w:val="001B70AF"/>
    <w:rsid w:val="001B722D"/>
    <w:rsid w:val="001B72AE"/>
    <w:rsid w:val="001B7749"/>
    <w:rsid w:val="001C054D"/>
    <w:rsid w:val="001C1216"/>
    <w:rsid w:val="001C13F9"/>
    <w:rsid w:val="001C14C6"/>
    <w:rsid w:val="001C175B"/>
    <w:rsid w:val="001C1BD5"/>
    <w:rsid w:val="001C1C4A"/>
    <w:rsid w:val="001C1CDE"/>
    <w:rsid w:val="001C23BD"/>
    <w:rsid w:val="001C24F1"/>
    <w:rsid w:val="001C2584"/>
    <w:rsid w:val="001C2887"/>
    <w:rsid w:val="001C330C"/>
    <w:rsid w:val="001C33E8"/>
    <w:rsid w:val="001C3594"/>
    <w:rsid w:val="001C38FD"/>
    <w:rsid w:val="001C3F9F"/>
    <w:rsid w:val="001C4188"/>
    <w:rsid w:val="001C43C3"/>
    <w:rsid w:val="001C4B00"/>
    <w:rsid w:val="001C4D7B"/>
    <w:rsid w:val="001C539D"/>
    <w:rsid w:val="001C5439"/>
    <w:rsid w:val="001C55AB"/>
    <w:rsid w:val="001C5778"/>
    <w:rsid w:val="001C5EE5"/>
    <w:rsid w:val="001C5F50"/>
    <w:rsid w:val="001C5F6E"/>
    <w:rsid w:val="001C6200"/>
    <w:rsid w:val="001C6BCF"/>
    <w:rsid w:val="001C7452"/>
    <w:rsid w:val="001C753F"/>
    <w:rsid w:val="001C770F"/>
    <w:rsid w:val="001C790B"/>
    <w:rsid w:val="001C7CA4"/>
    <w:rsid w:val="001C7E18"/>
    <w:rsid w:val="001C7F99"/>
    <w:rsid w:val="001C7FEB"/>
    <w:rsid w:val="001D0165"/>
    <w:rsid w:val="001D04D2"/>
    <w:rsid w:val="001D067F"/>
    <w:rsid w:val="001D0802"/>
    <w:rsid w:val="001D09DD"/>
    <w:rsid w:val="001D0C9D"/>
    <w:rsid w:val="001D0E29"/>
    <w:rsid w:val="001D1455"/>
    <w:rsid w:val="001D193A"/>
    <w:rsid w:val="001D1A17"/>
    <w:rsid w:val="001D1A49"/>
    <w:rsid w:val="001D2A45"/>
    <w:rsid w:val="001D2E5C"/>
    <w:rsid w:val="001D2E91"/>
    <w:rsid w:val="001D2F68"/>
    <w:rsid w:val="001D323F"/>
    <w:rsid w:val="001D360A"/>
    <w:rsid w:val="001D36A5"/>
    <w:rsid w:val="001D3E57"/>
    <w:rsid w:val="001D4070"/>
    <w:rsid w:val="001D4096"/>
    <w:rsid w:val="001D44A5"/>
    <w:rsid w:val="001D4AB6"/>
    <w:rsid w:val="001D503E"/>
    <w:rsid w:val="001D5429"/>
    <w:rsid w:val="001D5449"/>
    <w:rsid w:val="001D5CF2"/>
    <w:rsid w:val="001D6224"/>
    <w:rsid w:val="001D641D"/>
    <w:rsid w:val="001D6764"/>
    <w:rsid w:val="001D68DF"/>
    <w:rsid w:val="001D69CF"/>
    <w:rsid w:val="001D6D02"/>
    <w:rsid w:val="001D715D"/>
    <w:rsid w:val="001D71D1"/>
    <w:rsid w:val="001D7BD0"/>
    <w:rsid w:val="001E00E2"/>
    <w:rsid w:val="001E0850"/>
    <w:rsid w:val="001E093A"/>
    <w:rsid w:val="001E0B0B"/>
    <w:rsid w:val="001E0F20"/>
    <w:rsid w:val="001E0F73"/>
    <w:rsid w:val="001E11BA"/>
    <w:rsid w:val="001E168C"/>
    <w:rsid w:val="001E178B"/>
    <w:rsid w:val="001E18DA"/>
    <w:rsid w:val="001E1B9C"/>
    <w:rsid w:val="001E1BD8"/>
    <w:rsid w:val="001E1C15"/>
    <w:rsid w:val="001E2211"/>
    <w:rsid w:val="001E24A4"/>
    <w:rsid w:val="001E2BF3"/>
    <w:rsid w:val="001E3011"/>
    <w:rsid w:val="001E35F5"/>
    <w:rsid w:val="001E3B3E"/>
    <w:rsid w:val="001E3DA6"/>
    <w:rsid w:val="001E4367"/>
    <w:rsid w:val="001E439E"/>
    <w:rsid w:val="001E46FC"/>
    <w:rsid w:val="001E4C01"/>
    <w:rsid w:val="001E510A"/>
    <w:rsid w:val="001E5AD1"/>
    <w:rsid w:val="001E5AEB"/>
    <w:rsid w:val="001E5D45"/>
    <w:rsid w:val="001E5F38"/>
    <w:rsid w:val="001E632E"/>
    <w:rsid w:val="001E6900"/>
    <w:rsid w:val="001E7059"/>
    <w:rsid w:val="001E74F1"/>
    <w:rsid w:val="001E7895"/>
    <w:rsid w:val="001E7B72"/>
    <w:rsid w:val="001F00D7"/>
    <w:rsid w:val="001F04E4"/>
    <w:rsid w:val="001F0821"/>
    <w:rsid w:val="001F08D9"/>
    <w:rsid w:val="001F0BF9"/>
    <w:rsid w:val="001F0D22"/>
    <w:rsid w:val="001F0DBB"/>
    <w:rsid w:val="001F132D"/>
    <w:rsid w:val="001F134C"/>
    <w:rsid w:val="001F15FA"/>
    <w:rsid w:val="001F1C7B"/>
    <w:rsid w:val="001F1CBF"/>
    <w:rsid w:val="001F1F5F"/>
    <w:rsid w:val="001F21C3"/>
    <w:rsid w:val="001F2344"/>
    <w:rsid w:val="001F27C7"/>
    <w:rsid w:val="001F27D9"/>
    <w:rsid w:val="001F2865"/>
    <w:rsid w:val="001F2BF1"/>
    <w:rsid w:val="001F30F8"/>
    <w:rsid w:val="001F3273"/>
    <w:rsid w:val="001F362F"/>
    <w:rsid w:val="001F3921"/>
    <w:rsid w:val="001F3976"/>
    <w:rsid w:val="001F43C3"/>
    <w:rsid w:val="001F4F91"/>
    <w:rsid w:val="001F5271"/>
    <w:rsid w:val="001F5371"/>
    <w:rsid w:val="001F53FC"/>
    <w:rsid w:val="001F54EB"/>
    <w:rsid w:val="001F5540"/>
    <w:rsid w:val="001F5C90"/>
    <w:rsid w:val="001F5CF3"/>
    <w:rsid w:val="001F5E87"/>
    <w:rsid w:val="001F5ED7"/>
    <w:rsid w:val="001F5F0D"/>
    <w:rsid w:val="001F623D"/>
    <w:rsid w:val="001F62A3"/>
    <w:rsid w:val="001F6359"/>
    <w:rsid w:val="001F6486"/>
    <w:rsid w:val="001F6B2F"/>
    <w:rsid w:val="001F6BF1"/>
    <w:rsid w:val="001F6EFB"/>
    <w:rsid w:val="001F71AE"/>
    <w:rsid w:val="00200159"/>
    <w:rsid w:val="00200468"/>
    <w:rsid w:val="00200B48"/>
    <w:rsid w:val="00200B73"/>
    <w:rsid w:val="00200EA5"/>
    <w:rsid w:val="00201034"/>
    <w:rsid w:val="002015C1"/>
    <w:rsid w:val="00201D4A"/>
    <w:rsid w:val="002024DF"/>
    <w:rsid w:val="002028C2"/>
    <w:rsid w:val="0020294C"/>
    <w:rsid w:val="00202B20"/>
    <w:rsid w:val="0020308A"/>
    <w:rsid w:val="00203C97"/>
    <w:rsid w:val="0020494D"/>
    <w:rsid w:val="002050D0"/>
    <w:rsid w:val="002055C7"/>
    <w:rsid w:val="002056B7"/>
    <w:rsid w:val="002057BF"/>
    <w:rsid w:val="002059F8"/>
    <w:rsid w:val="00205B6B"/>
    <w:rsid w:val="00205EAC"/>
    <w:rsid w:val="00206336"/>
    <w:rsid w:val="002065F2"/>
    <w:rsid w:val="00206652"/>
    <w:rsid w:val="0020665D"/>
    <w:rsid w:val="00206804"/>
    <w:rsid w:val="00206BAE"/>
    <w:rsid w:val="00206BAF"/>
    <w:rsid w:val="00206F02"/>
    <w:rsid w:val="002071DB"/>
    <w:rsid w:val="002073E1"/>
    <w:rsid w:val="002073EC"/>
    <w:rsid w:val="00207628"/>
    <w:rsid w:val="002076B6"/>
    <w:rsid w:val="002076F2"/>
    <w:rsid w:val="00207A6F"/>
    <w:rsid w:val="00207E35"/>
    <w:rsid w:val="00207EC9"/>
    <w:rsid w:val="00207EE7"/>
    <w:rsid w:val="00210248"/>
    <w:rsid w:val="0021041B"/>
    <w:rsid w:val="00210A71"/>
    <w:rsid w:val="00211591"/>
    <w:rsid w:val="002117A5"/>
    <w:rsid w:val="002117F0"/>
    <w:rsid w:val="00211C97"/>
    <w:rsid w:val="002127DC"/>
    <w:rsid w:val="00213AF4"/>
    <w:rsid w:val="00214107"/>
    <w:rsid w:val="002144D8"/>
    <w:rsid w:val="002147B1"/>
    <w:rsid w:val="002148AC"/>
    <w:rsid w:val="00215041"/>
    <w:rsid w:val="002153EE"/>
    <w:rsid w:val="0021565D"/>
    <w:rsid w:val="00215723"/>
    <w:rsid w:val="00215817"/>
    <w:rsid w:val="0021592F"/>
    <w:rsid w:val="002167D9"/>
    <w:rsid w:val="00216E6F"/>
    <w:rsid w:val="002171AF"/>
    <w:rsid w:val="002176B6"/>
    <w:rsid w:val="00217851"/>
    <w:rsid w:val="002201E4"/>
    <w:rsid w:val="00220555"/>
    <w:rsid w:val="00220558"/>
    <w:rsid w:val="00220589"/>
    <w:rsid w:val="002205F6"/>
    <w:rsid w:val="0022072A"/>
    <w:rsid w:val="00220B52"/>
    <w:rsid w:val="00220C12"/>
    <w:rsid w:val="002211AF"/>
    <w:rsid w:val="00221444"/>
    <w:rsid w:val="0022165F"/>
    <w:rsid w:val="0022179F"/>
    <w:rsid w:val="00221D63"/>
    <w:rsid w:val="00222456"/>
    <w:rsid w:val="00222B90"/>
    <w:rsid w:val="00222C5B"/>
    <w:rsid w:val="00223123"/>
    <w:rsid w:val="00223448"/>
    <w:rsid w:val="00223520"/>
    <w:rsid w:val="002235CF"/>
    <w:rsid w:val="00223655"/>
    <w:rsid w:val="0022390B"/>
    <w:rsid w:val="00223EFB"/>
    <w:rsid w:val="00224569"/>
    <w:rsid w:val="00224721"/>
    <w:rsid w:val="002250D7"/>
    <w:rsid w:val="00225577"/>
    <w:rsid w:val="002258F1"/>
    <w:rsid w:val="00225A55"/>
    <w:rsid w:val="00225BA6"/>
    <w:rsid w:val="002265E6"/>
    <w:rsid w:val="00226756"/>
    <w:rsid w:val="002267EA"/>
    <w:rsid w:val="00226955"/>
    <w:rsid w:val="002269CE"/>
    <w:rsid w:val="00226BAC"/>
    <w:rsid w:val="00227571"/>
    <w:rsid w:val="00227C46"/>
    <w:rsid w:val="00227E60"/>
    <w:rsid w:val="00230637"/>
    <w:rsid w:val="00230BF7"/>
    <w:rsid w:val="00231075"/>
    <w:rsid w:val="00231195"/>
    <w:rsid w:val="00231875"/>
    <w:rsid w:val="0023190A"/>
    <w:rsid w:val="00232578"/>
    <w:rsid w:val="002329F7"/>
    <w:rsid w:val="0023317E"/>
    <w:rsid w:val="002335F0"/>
    <w:rsid w:val="00234109"/>
    <w:rsid w:val="0023433D"/>
    <w:rsid w:val="0023438C"/>
    <w:rsid w:val="00234391"/>
    <w:rsid w:val="002343B5"/>
    <w:rsid w:val="002343CA"/>
    <w:rsid w:val="0023508D"/>
    <w:rsid w:val="0023575E"/>
    <w:rsid w:val="002357A3"/>
    <w:rsid w:val="00236687"/>
    <w:rsid w:val="00236A8A"/>
    <w:rsid w:val="00236B5F"/>
    <w:rsid w:val="00237048"/>
    <w:rsid w:val="00237979"/>
    <w:rsid w:val="00237AA1"/>
    <w:rsid w:val="00237AD9"/>
    <w:rsid w:val="002402A2"/>
    <w:rsid w:val="0024031E"/>
    <w:rsid w:val="002403CA"/>
    <w:rsid w:val="00240610"/>
    <w:rsid w:val="00240A91"/>
    <w:rsid w:val="00240CDB"/>
    <w:rsid w:val="002414F5"/>
    <w:rsid w:val="002415E1"/>
    <w:rsid w:val="002418E6"/>
    <w:rsid w:val="00241E92"/>
    <w:rsid w:val="00242A73"/>
    <w:rsid w:val="00242D11"/>
    <w:rsid w:val="002431E9"/>
    <w:rsid w:val="00243207"/>
    <w:rsid w:val="002432B4"/>
    <w:rsid w:val="002436B4"/>
    <w:rsid w:val="00243A9F"/>
    <w:rsid w:val="00243D19"/>
    <w:rsid w:val="00243D59"/>
    <w:rsid w:val="00244009"/>
    <w:rsid w:val="002440D7"/>
    <w:rsid w:val="00244415"/>
    <w:rsid w:val="002445E6"/>
    <w:rsid w:val="00244849"/>
    <w:rsid w:val="00244856"/>
    <w:rsid w:val="00244919"/>
    <w:rsid w:val="00244AE8"/>
    <w:rsid w:val="00244CC8"/>
    <w:rsid w:val="00244D4B"/>
    <w:rsid w:val="00245231"/>
    <w:rsid w:val="0024528D"/>
    <w:rsid w:val="00245531"/>
    <w:rsid w:val="002457F1"/>
    <w:rsid w:val="00245F2B"/>
    <w:rsid w:val="00245F53"/>
    <w:rsid w:val="00245FBF"/>
    <w:rsid w:val="00246082"/>
    <w:rsid w:val="00246169"/>
    <w:rsid w:val="00246AE7"/>
    <w:rsid w:val="002471AF"/>
    <w:rsid w:val="00247BA9"/>
    <w:rsid w:val="00247F00"/>
    <w:rsid w:val="00250081"/>
    <w:rsid w:val="00250CA7"/>
    <w:rsid w:val="00250FCB"/>
    <w:rsid w:val="002511F3"/>
    <w:rsid w:val="00251AC9"/>
    <w:rsid w:val="00251B33"/>
    <w:rsid w:val="00251D03"/>
    <w:rsid w:val="00251FBC"/>
    <w:rsid w:val="0025257C"/>
    <w:rsid w:val="0025295C"/>
    <w:rsid w:val="00252B2D"/>
    <w:rsid w:val="00252C7C"/>
    <w:rsid w:val="00252EC4"/>
    <w:rsid w:val="002535D1"/>
    <w:rsid w:val="00253DEF"/>
    <w:rsid w:val="002542B6"/>
    <w:rsid w:val="0025452F"/>
    <w:rsid w:val="00254CFE"/>
    <w:rsid w:val="00255393"/>
    <w:rsid w:val="00255C3C"/>
    <w:rsid w:val="00255EE6"/>
    <w:rsid w:val="00256645"/>
    <w:rsid w:val="0025675D"/>
    <w:rsid w:val="00256CCF"/>
    <w:rsid w:val="00256F5C"/>
    <w:rsid w:val="002579DE"/>
    <w:rsid w:val="00257B8B"/>
    <w:rsid w:val="002600D6"/>
    <w:rsid w:val="002600F3"/>
    <w:rsid w:val="00260AC4"/>
    <w:rsid w:val="00260EC3"/>
    <w:rsid w:val="00260F1B"/>
    <w:rsid w:val="00261199"/>
    <w:rsid w:val="00261436"/>
    <w:rsid w:val="00261B77"/>
    <w:rsid w:val="00261D2A"/>
    <w:rsid w:val="00262AF4"/>
    <w:rsid w:val="00262E09"/>
    <w:rsid w:val="0026363B"/>
    <w:rsid w:val="00263C9F"/>
    <w:rsid w:val="00264006"/>
    <w:rsid w:val="00264DB0"/>
    <w:rsid w:val="00265120"/>
    <w:rsid w:val="00265C0E"/>
    <w:rsid w:val="00265C94"/>
    <w:rsid w:val="00265CD1"/>
    <w:rsid w:val="00265DCD"/>
    <w:rsid w:val="00265F5A"/>
    <w:rsid w:val="00266A8F"/>
    <w:rsid w:val="00266B14"/>
    <w:rsid w:val="00266BDC"/>
    <w:rsid w:val="00266C06"/>
    <w:rsid w:val="00266FC6"/>
    <w:rsid w:val="00267445"/>
    <w:rsid w:val="00267541"/>
    <w:rsid w:val="00267632"/>
    <w:rsid w:val="0026790D"/>
    <w:rsid w:val="00267988"/>
    <w:rsid w:val="00267B07"/>
    <w:rsid w:val="00270796"/>
    <w:rsid w:val="002709CD"/>
    <w:rsid w:val="0027119B"/>
    <w:rsid w:val="002719CA"/>
    <w:rsid w:val="00271BB9"/>
    <w:rsid w:val="00271C98"/>
    <w:rsid w:val="002723C9"/>
    <w:rsid w:val="002729AE"/>
    <w:rsid w:val="00272AFC"/>
    <w:rsid w:val="00272F24"/>
    <w:rsid w:val="00273031"/>
    <w:rsid w:val="002735EB"/>
    <w:rsid w:val="0027394C"/>
    <w:rsid w:val="00273C6B"/>
    <w:rsid w:val="00273DF7"/>
    <w:rsid w:val="0027524F"/>
    <w:rsid w:val="00275455"/>
    <w:rsid w:val="00275A73"/>
    <w:rsid w:val="002761EF"/>
    <w:rsid w:val="00276616"/>
    <w:rsid w:val="00276A5C"/>
    <w:rsid w:val="00276B52"/>
    <w:rsid w:val="002770D4"/>
    <w:rsid w:val="002771C4"/>
    <w:rsid w:val="002777F2"/>
    <w:rsid w:val="00277C58"/>
    <w:rsid w:val="00280097"/>
    <w:rsid w:val="0028075F"/>
    <w:rsid w:val="002808D1"/>
    <w:rsid w:val="00280CBA"/>
    <w:rsid w:val="00281799"/>
    <w:rsid w:val="00281B1B"/>
    <w:rsid w:val="00281BFE"/>
    <w:rsid w:val="00281E00"/>
    <w:rsid w:val="00281E44"/>
    <w:rsid w:val="0028214B"/>
    <w:rsid w:val="00282A0B"/>
    <w:rsid w:val="00282A97"/>
    <w:rsid w:val="00282A98"/>
    <w:rsid w:val="00282CB4"/>
    <w:rsid w:val="002831A8"/>
    <w:rsid w:val="00283DCE"/>
    <w:rsid w:val="00283ED8"/>
    <w:rsid w:val="00283F80"/>
    <w:rsid w:val="00284178"/>
    <w:rsid w:val="0028427F"/>
    <w:rsid w:val="00284F67"/>
    <w:rsid w:val="00284FA5"/>
    <w:rsid w:val="002853B1"/>
    <w:rsid w:val="002859DA"/>
    <w:rsid w:val="00285AB9"/>
    <w:rsid w:val="002868A7"/>
    <w:rsid w:val="00286C38"/>
    <w:rsid w:val="00287036"/>
    <w:rsid w:val="00287191"/>
    <w:rsid w:val="00287285"/>
    <w:rsid w:val="002872CF"/>
    <w:rsid w:val="00287E78"/>
    <w:rsid w:val="0029021F"/>
    <w:rsid w:val="0029032F"/>
    <w:rsid w:val="00290B50"/>
    <w:rsid w:val="002910FD"/>
    <w:rsid w:val="002912E6"/>
    <w:rsid w:val="002912FA"/>
    <w:rsid w:val="00291663"/>
    <w:rsid w:val="002916F7"/>
    <w:rsid w:val="00291D36"/>
    <w:rsid w:val="00292206"/>
    <w:rsid w:val="002922A6"/>
    <w:rsid w:val="00292311"/>
    <w:rsid w:val="0029318E"/>
    <w:rsid w:val="002932C2"/>
    <w:rsid w:val="002933E5"/>
    <w:rsid w:val="002935B9"/>
    <w:rsid w:val="00293638"/>
    <w:rsid w:val="0029398F"/>
    <w:rsid w:val="00294A63"/>
    <w:rsid w:val="00294AAE"/>
    <w:rsid w:val="00295252"/>
    <w:rsid w:val="002953F4"/>
    <w:rsid w:val="0029664E"/>
    <w:rsid w:val="002966E7"/>
    <w:rsid w:val="00297E7E"/>
    <w:rsid w:val="002A01EF"/>
    <w:rsid w:val="002A04F0"/>
    <w:rsid w:val="002A0A60"/>
    <w:rsid w:val="002A0BC4"/>
    <w:rsid w:val="002A1012"/>
    <w:rsid w:val="002A27B2"/>
    <w:rsid w:val="002A3126"/>
    <w:rsid w:val="002A31D3"/>
    <w:rsid w:val="002A35C9"/>
    <w:rsid w:val="002A3B6B"/>
    <w:rsid w:val="002A4066"/>
    <w:rsid w:val="002A42EC"/>
    <w:rsid w:val="002A46D2"/>
    <w:rsid w:val="002A506A"/>
    <w:rsid w:val="002A526B"/>
    <w:rsid w:val="002A58B2"/>
    <w:rsid w:val="002A58CF"/>
    <w:rsid w:val="002A5A5C"/>
    <w:rsid w:val="002A63F0"/>
    <w:rsid w:val="002A64E6"/>
    <w:rsid w:val="002A68FF"/>
    <w:rsid w:val="002A698D"/>
    <w:rsid w:val="002A6E9C"/>
    <w:rsid w:val="002A75A6"/>
    <w:rsid w:val="002A7B93"/>
    <w:rsid w:val="002B044C"/>
    <w:rsid w:val="002B0575"/>
    <w:rsid w:val="002B0630"/>
    <w:rsid w:val="002B0731"/>
    <w:rsid w:val="002B0A9F"/>
    <w:rsid w:val="002B0BDD"/>
    <w:rsid w:val="002B0F0B"/>
    <w:rsid w:val="002B198C"/>
    <w:rsid w:val="002B1BEE"/>
    <w:rsid w:val="002B1CDA"/>
    <w:rsid w:val="002B1EDE"/>
    <w:rsid w:val="002B256E"/>
    <w:rsid w:val="002B2607"/>
    <w:rsid w:val="002B2BEC"/>
    <w:rsid w:val="002B2FB5"/>
    <w:rsid w:val="002B3021"/>
    <w:rsid w:val="002B37EC"/>
    <w:rsid w:val="002B3887"/>
    <w:rsid w:val="002B426E"/>
    <w:rsid w:val="002B4423"/>
    <w:rsid w:val="002B4D13"/>
    <w:rsid w:val="002B4E86"/>
    <w:rsid w:val="002B4FAE"/>
    <w:rsid w:val="002B5015"/>
    <w:rsid w:val="002B5033"/>
    <w:rsid w:val="002B5083"/>
    <w:rsid w:val="002B5125"/>
    <w:rsid w:val="002B542D"/>
    <w:rsid w:val="002B57CD"/>
    <w:rsid w:val="002B58AE"/>
    <w:rsid w:val="002B5B9E"/>
    <w:rsid w:val="002B5BCE"/>
    <w:rsid w:val="002B5C14"/>
    <w:rsid w:val="002B5CF2"/>
    <w:rsid w:val="002B624B"/>
    <w:rsid w:val="002B63EE"/>
    <w:rsid w:val="002B7C2F"/>
    <w:rsid w:val="002B7E95"/>
    <w:rsid w:val="002B7F7C"/>
    <w:rsid w:val="002B7FE6"/>
    <w:rsid w:val="002C0280"/>
    <w:rsid w:val="002C0A37"/>
    <w:rsid w:val="002C0AAE"/>
    <w:rsid w:val="002C0BE5"/>
    <w:rsid w:val="002C0DC0"/>
    <w:rsid w:val="002C0E5E"/>
    <w:rsid w:val="002C1428"/>
    <w:rsid w:val="002C1503"/>
    <w:rsid w:val="002C1C19"/>
    <w:rsid w:val="002C1FEB"/>
    <w:rsid w:val="002C2357"/>
    <w:rsid w:val="002C23A0"/>
    <w:rsid w:val="002C28B4"/>
    <w:rsid w:val="002C2DBB"/>
    <w:rsid w:val="002C2E4D"/>
    <w:rsid w:val="002C31D5"/>
    <w:rsid w:val="002C3469"/>
    <w:rsid w:val="002C366C"/>
    <w:rsid w:val="002C384D"/>
    <w:rsid w:val="002C3868"/>
    <w:rsid w:val="002C3AC9"/>
    <w:rsid w:val="002C3F8A"/>
    <w:rsid w:val="002C4406"/>
    <w:rsid w:val="002C4528"/>
    <w:rsid w:val="002C4D4B"/>
    <w:rsid w:val="002C4EE9"/>
    <w:rsid w:val="002C55E8"/>
    <w:rsid w:val="002C5C72"/>
    <w:rsid w:val="002C5CBD"/>
    <w:rsid w:val="002C6086"/>
    <w:rsid w:val="002C60C8"/>
    <w:rsid w:val="002C6310"/>
    <w:rsid w:val="002C63BE"/>
    <w:rsid w:val="002C7106"/>
    <w:rsid w:val="002C71E3"/>
    <w:rsid w:val="002C73BA"/>
    <w:rsid w:val="002C7531"/>
    <w:rsid w:val="002C77CB"/>
    <w:rsid w:val="002C7874"/>
    <w:rsid w:val="002C7B6C"/>
    <w:rsid w:val="002C7E11"/>
    <w:rsid w:val="002D006C"/>
    <w:rsid w:val="002D011F"/>
    <w:rsid w:val="002D04E4"/>
    <w:rsid w:val="002D0954"/>
    <w:rsid w:val="002D103B"/>
    <w:rsid w:val="002D1209"/>
    <w:rsid w:val="002D2332"/>
    <w:rsid w:val="002D24F4"/>
    <w:rsid w:val="002D2D30"/>
    <w:rsid w:val="002D342F"/>
    <w:rsid w:val="002D38EB"/>
    <w:rsid w:val="002D3954"/>
    <w:rsid w:val="002D3FB0"/>
    <w:rsid w:val="002D409C"/>
    <w:rsid w:val="002D4780"/>
    <w:rsid w:val="002D4B71"/>
    <w:rsid w:val="002D4D04"/>
    <w:rsid w:val="002D4FA7"/>
    <w:rsid w:val="002D595E"/>
    <w:rsid w:val="002D5BDF"/>
    <w:rsid w:val="002D65FD"/>
    <w:rsid w:val="002D69E5"/>
    <w:rsid w:val="002D6A81"/>
    <w:rsid w:val="002D6FD2"/>
    <w:rsid w:val="002D7150"/>
    <w:rsid w:val="002D741F"/>
    <w:rsid w:val="002D7ABA"/>
    <w:rsid w:val="002E01C6"/>
    <w:rsid w:val="002E0537"/>
    <w:rsid w:val="002E065A"/>
    <w:rsid w:val="002E081E"/>
    <w:rsid w:val="002E083A"/>
    <w:rsid w:val="002E0ADC"/>
    <w:rsid w:val="002E0B51"/>
    <w:rsid w:val="002E0DE2"/>
    <w:rsid w:val="002E0F70"/>
    <w:rsid w:val="002E1417"/>
    <w:rsid w:val="002E1D53"/>
    <w:rsid w:val="002E1EF8"/>
    <w:rsid w:val="002E243C"/>
    <w:rsid w:val="002E270E"/>
    <w:rsid w:val="002E2786"/>
    <w:rsid w:val="002E2864"/>
    <w:rsid w:val="002E2B7C"/>
    <w:rsid w:val="002E34EE"/>
    <w:rsid w:val="002E34F9"/>
    <w:rsid w:val="002E3B2F"/>
    <w:rsid w:val="002E3FEE"/>
    <w:rsid w:val="002E40F9"/>
    <w:rsid w:val="002E41B3"/>
    <w:rsid w:val="002E4D51"/>
    <w:rsid w:val="002E584C"/>
    <w:rsid w:val="002E5918"/>
    <w:rsid w:val="002E61BC"/>
    <w:rsid w:val="002E6713"/>
    <w:rsid w:val="002E6A6A"/>
    <w:rsid w:val="002E6AC3"/>
    <w:rsid w:val="002E6D6D"/>
    <w:rsid w:val="002E7755"/>
    <w:rsid w:val="002E7C1F"/>
    <w:rsid w:val="002E7E91"/>
    <w:rsid w:val="002F0EFB"/>
    <w:rsid w:val="002F0F0D"/>
    <w:rsid w:val="002F1578"/>
    <w:rsid w:val="002F16CD"/>
    <w:rsid w:val="002F1A54"/>
    <w:rsid w:val="002F1C50"/>
    <w:rsid w:val="002F1CC8"/>
    <w:rsid w:val="002F1DDC"/>
    <w:rsid w:val="002F2445"/>
    <w:rsid w:val="002F2584"/>
    <w:rsid w:val="002F27B4"/>
    <w:rsid w:val="002F27BE"/>
    <w:rsid w:val="002F2E84"/>
    <w:rsid w:val="002F2F61"/>
    <w:rsid w:val="002F306D"/>
    <w:rsid w:val="002F30D3"/>
    <w:rsid w:val="002F3A5E"/>
    <w:rsid w:val="002F3F3A"/>
    <w:rsid w:val="002F4063"/>
    <w:rsid w:val="002F47EE"/>
    <w:rsid w:val="002F4A2D"/>
    <w:rsid w:val="002F4AAD"/>
    <w:rsid w:val="002F4B02"/>
    <w:rsid w:val="002F4CB0"/>
    <w:rsid w:val="002F4FCA"/>
    <w:rsid w:val="002F5068"/>
    <w:rsid w:val="002F5534"/>
    <w:rsid w:val="002F609A"/>
    <w:rsid w:val="002F6151"/>
    <w:rsid w:val="002F6D65"/>
    <w:rsid w:val="002F6E33"/>
    <w:rsid w:val="002F7BFB"/>
    <w:rsid w:val="002F7F3F"/>
    <w:rsid w:val="00300127"/>
    <w:rsid w:val="00300560"/>
    <w:rsid w:val="00300F0A"/>
    <w:rsid w:val="00301086"/>
    <w:rsid w:val="00301606"/>
    <w:rsid w:val="0030188B"/>
    <w:rsid w:val="0030208F"/>
    <w:rsid w:val="0030225A"/>
    <w:rsid w:val="0030283F"/>
    <w:rsid w:val="00302D9B"/>
    <w:rsid w:val="0030321F"/>
    <w:rsid w:val="0030356B"/>
    <w:rsid w:val="003035F4"/>
    <w:rsid w:val="0030393A"/>
    <w:rsid w:val="00303BC6"/>
    <w:rsid w:val="0030453C"/>
    <w:rsid w:val="0030467B"/>
    <w:rsid w:val="003050C9"/>
    <w:rsid w:val="003059FD"/>
    <w:rsid w:val="003062EC"/>
    <w:rsid w:val="00306429"/>
    <w:rsid w:val="00306648"/>
    <w:rsid w:val="00306892"/>
    <w:rsid w:val="003068DD"/>
    <w:rsid w:val="00306E18"/>
    <w:rsid w:val="00307333"/>
    <w:rsid w:val="00307516"/>
    <w:rsid w:val="003078DB"/>
    <w:rsid w:val="00307915"/>
    <w:rsid w:val="00307BEB"/>
    <w:rsid w:val="00310650"/>
    <w:rsid w:val="00310DCF"/>
    <w:rsid w:val="003111D8"/>
    <w:rsid w:val="0031171E"/>
    <w:rsid w:val="003119F9"/>
    <w:rsid w:val="00311F88"/>
    <w:rsid w:val="003120C1"/>
    <w:rsid w:val="00312738"/>
    <w:rsid w:val="00312946"/>
    <w:rsid w:val="00313227"/>
    <w:rsid w:val="00313723"/>
    <w:rsid w:val="00313A14"/>
    <w:rsid w:val="00313DF1"/>
    <w:rsid w:val="003143B9"/>
    <w:rsid w:val="00314937"/>
    <w:rsid w:val="00314962"/>
    <w:rsid w:val="00314B8A"/>
    <w:rsid w:val="00314BF7"/>
    <w:rsid w:val="00314C5A"/>
    <w:rsid w:val="00315300"/>
    <w:rsid w:val="003156B3"/>
    <w:rsid w:val="0031586B"/>
    <w:rsid w:val="00315C9E"/>
    <w:rsid w:val="00315E49"/>
    <w:rsid w:val="0031644E"/>
    <w:rsid w:val="003164F9"/>
    <w:rsid w:val="00316E97"/>
    <w:rsid w:val="00317183"/>
    <w:rsid w:val="00317195"/>
    <w:rsid w:val="0031735F"/>
    <w:rsid w:val="00317B41"/>
    <w:rsid w:val="00320230"/>
    <w:rsid w:val="00320737"/>
    <w:rsid w:val="00320A51"/>
    <w:rsid w:val="00320B2F"/>
    <w:rsid w:val="00320D97"/>
    <w:rsid w:val="00321062"/>
    <w:rsid w:val="003212CA"/>
    <w:rsid w:val="00321B44"/>
    <w:rsid w:val="0032242C"/>
    <w:rsid w:val="003226A1"/>
    <w:rsid w:val="00322E76"/>
    <w:rsid w:val="003245F4"/>
    <w:rsid w:val="00324742"/>
    <w:rsid w:val="00324807"/>
    <w:rsid w:val="00324844"/>
    <w:rsid w:val="0032566C"/>
    <w:rsid w:val="0032633E"/>
    <w:rsid w:val="00326B3C"/>
    <w:rsid w:val="003271CD"/>
    <w:rsid w:val="003276F6"/>
    <w:rsid w:val="00327926"/>
    <w:rsid w:val="00327B01"/>
    <w:rsid w:val="00327CD8"/>
    <w:rsid w:val="0033008B"/>
    <w:rsid w:val="003306BA"/>
    <w:rsid w:val="00330995"/>
    <w:rsid w:val="003309B0"/>
    <w:rsid w:val="003309DD"/>
    <w:rsid w:val="00330A31"/>
    <w:rsid w:val="00330C47"/>
    <w:rsid w:val="00330F34"/>
    <w:rsid w:val="00330FDD"/>
    <w:rsid w:val="003310A3"/>
    <w:rsid w:val="003312E2"/>
    <w:rsid w:val="00331415"/>
    <w:rsid w:val="00331E2D"/>
    <w:rsid w:val="00331E60"/>
    <w:rsid w:val="00331FDD"/>
    <w:rsid w:val="003325A2"/>
    <w:rsid w:val="0033281D"/>
    <w:rsid w:val="00332895"/>
    <w:rsid w:val="0033289F"/>
    <w:rsid w:val="00332A4E"/>
    <w:rsid w:val="003331CE"/>
    <w:rsid w:val="0033334E"/>
    <w:rsid w:val="00333487"/>
    <w:rsid w:val="003334C7"/>
    <w:rsid w:val="00333704"/>
    <w:rsid w:val="00333A0F"/>
    <w:rsid w:val="00333F15"/>
    <w:rsid w:val="003340FB"/>
    <w:rsid w:val="00334223"/>
    <w:rsid w:val="003349AD"/>
    <w:rsid w:val="00334AB4"/>
    <w:rsid w:val="00334C75"/>
    <w:rsid w:val="00335233"/>
    <w:rsid w:val="00335572"/>
    <w:rsid w:val="00335BB4"/>
    <w:rsid w:val="00336467"/>
    <w:rsid w:val="0033711E"/>
    <w:rsid w:val="0033766A"/>
    <w:rsid w:val="00337CEB"/>
    <w:rsid w:val="00340068"/>
    <w:rsid w:val="0034082F"/>
    <w:rsid w:val="00340897"/>
    <w:rsid w:val="003409CD"/>
    <w:rsid w:val="00340D2A"/>
    <w:rsid w:val="00341238"/>
    <w:rsid w:val="00341258"/>
    <w:rsid w:val="003418DE"/>
    <w:rsid w:val="00341B46"/>
    <w:rsid w:val="00342209"/>
    <w:rsid w:val="003423BB"/>
    <w:rsid w:val="00342FE0"/>
    <w:rsid w:val="00343931"/>
    <w:rsid w:val="003439F4"/>
    <w:rsid w:val="003440DE"/>
    <w:rsid w:val="0034497B"/>
    <w:rsid w:val="00344B99"/>
    <w:rsid w:val="00344FB1"/>
    <w:rsid w:val="00345084"/>
    <w:rsid w:val="003453CA"/>
    <w:rsid w:val="00345ABC"/>
    <w:rsid w:val="00345D13"/>
    <w:rsid w:val="00345FDF"/>
    <w:rsid w:val="0034643B"/>
    <w:rsid w:val="003469FC"/>
    <w:rsid w:val="00346DAA"/>
    <w:rsid w:val="003473FE"/>
    <w:rsid w:val="00347FF9"/>
    <w:rsid w:val="00350E9A"/>
    <w:rsid w:val="0035145B"/>
    <w:rsid w:val="00351747"/>
    <w:rsid w:val="00351911"/>
    <w:rsid w:val="003525E0"/>
    <w:rsid w:val="0035267F"/>
    <w:rsid w:val="0035268F"/>
    <w:rsid w:val="0035299C"/>
    <w:rsid w:val="00352B80"/>
    <w:rsid w:val="00352DCC"/>
    <w:rsid w:val="00352ED8"/>
    <w:rsid w:val="00353BBB"/>
    <w:rsid w:val="00353BD3"/>
    <w:rsid w:val="00353C1C"/>
    <w:rsid w:val="00354019"/>
    <w:rsid w:val="00354169"/>
    <w:rsid w:val="0035423F"/>
    <w:rsid w:val="00354F70"/>
    <w:rsid w:val="003550C8"/>
    <w:rsid w:val="00356407"/>
    <w:rsid w:val="00356557"/>
    <w:rsid w:val="0035668A"/>
    <w:rsid w:val="00356D4D"/>
    <w:rsid w:val="00356FF5"/>
    <w:rsid w:val="00357277"/>
    <w:rsid w:val="00357872"/>
    <w:rsid w:val="00357AD8"/>
    <w:rsid w:val="00357F7C"/>
    <w:rsid w:val="00360055"/>
    <w:rsid w:val="003604EA"/>
    <w:rsid w:val="0036052E"/>
    <w:rsid w:val="00360BDD"/>
    <w:rsid w:val="00360C7A"/>
    <w:rsid w:val="003611E3"/>
    <w:rsid w:val="0036188C"/>
    <w:rsid w:val="003623DD"/>
    <w:rsid w:val="00362B09"/>
    <w:rsid w:val="00362F9C"/>
    <w:rsid w:val="00363A6C"/>
    <w:rsid w:val="003642FF"/>
    <w:rsid w:val="00364A73"/>
    <w:rsid w:val="00365367"/>
    <w:rsid w:val="00365404"/>
    <w:rsid w:val="003658E9"/>
    <w:rsid w:val="00365AEE"/>
    <w:rsid w:val="00366192"/>
    <w:rsid w:val="003667CA"/>
    <w:rsid w:val="003669F4"/>
    <w:rsid w:val="00366CA1"/>
    <w:rsid w:val="00366FA6"/>
    <w:rsid w:val="00367E02"/>
    <w:rsid w:val="0037047A"/>
    <w:rsid w:val="003714A3"/>
    <w:rsid w:val="00371DE9"/>
    <w:rsid w:val="00372069"/>
    <w:rsid w:val="00372149"/>
    <w:rsid w:val="00372667"/>
    <w:rsid w:val="0037272B"/>
    <w:rsid w:val="00372FDE"/>
    <w:rsid w:val="00373022"/>
    <w:rsid w:val="0037396B"/>
    <w:rsid w:val="00373987"/>
    <w:rsid w:val="00373AE8"/>
    <w:rsid w:val="00374BEE"/>
    <w:rsid w:val="00374FB1"/>
    <w:rsid w:val="0037509F"/>
    <w:rsid w:val="003751F5"/>
    <w:rsid w:val="003755E7"/>
    <w:rsid w:val="00375FBD"/>
    <w:rsid w:val="00376E4D"/>
    <w:rsid w:val="00376E81"/>
    <w:rsid w:val="00377350"/>
    <w:rsid w:val="00377923"/>
    <w:rsid w:val="00377CFE"/>
    <w:rsid w:val="00377D13"/>
    <w:rsid w:val="00377DB4"/>
    <w:rsid w:val="00377F87"/>
    <w:rsid w:val="00380795"/>
    <w:rsid w:val="00380B88"/>
    <w:rsid w:val="00380D8B"/>
    <w:rsid w:val="003810E0"/>
    <w:rsid w:val="0038153F"/>
    <w:rsid w:val="00381672"/>
    <w:rsid w:val="003816B0"/>
    <w:rsid w:val="003818ED"/>
    <w:rsid w:val="00382763"/>
    <w:rsid w:val="00383CFB"/>
    <w:rsid w:val="00383D48"/>
    <w:rsid w:val="00384372"/>
    <w:rsid w:val="0038449F"/>
    <w:rsid w:val="003848B0"/>
    <w:rsid w:val="00385222"/>
    <w:rsid w:val="003859FA"/>
    <w:rsid w:val="0038693D"/>
    <w:rsid w:val="00386CA4"/>
    <w:rsid w:val="00386E05"/>
    <w:rsid w:val="00386FFF"/>
    <w:rsid w:val="00387266"/>
    <w:rsid w:val="003872D3"/>
    <w:rsid w:val="00387815"/>
    <w:rsid w:val="00387828"/>
    <w:rsid w:val="00387E44"/>
    <w:rsid w:val="0039069F"/>
    <w:rsid w:val="0039076A"/>
    <w:rsid w:val="00390784"/>
    <w:rsid w:val="00390A13"/>
    <w:rsid w:val="00390F37"/>
    <w:rsid w:val="00391C8C"/>
    <w:rsid w:val="00391FC8"/>
    <w:rsid w:val="00392462"/>
    <w:rsid w:val="003935DB"/>
    <w:rsid w:val="00393AA2"/>
    <w:rsid w:val="00393EA3"/>
    <w:rsid w:val="00394008"/>
    <w:rsid w:val="003943BF"/>
    <w:rsid w:val="00394935"/>
    <w:rsid w:val="003949C9"/>
    <w:rsid w:val="00395BB5"/>
    <w:rsid w:val="00396381"/>
    <w:rsid w:val="003963CD"/>
    <w:rsid w:val="003974A8"/>
    <w:rsid w:val="00397A8C"/>
    <w:rsid w:val="00397ABE"/>
    <w:rsid w:val="00397D09"/>
    <w:rsid w:val="00397EFF"/>
    <w:rsid w:val="00397F36"/>
    <w:rsid w:val="003A024E"/>
    <w:rsid w:val="003A0904"/>
    <w:rsid w:val="003A129F"/>
    <w:rsid w:val="003A1D62"/>
    <w:rsid w:val="003A23CF"/>
    <w:rsid w:val="003A280C"/>
    <w:rsid w:val="003A2A0B"/>
    <w:rsid w:val="003A2F8D"/>
    <w:rsid w:val="003A300D"/>
    <w:rsid w:val="003A3166"/>
    <w:rsid w:val="003A4540"/>
    <w:rsid w:val="003A5A43"/>
    <w:rsid w:val="003A5B8A"/>
    <w:rsid w:val="003A609D"/>
    <w:rsid w:val="003A6930"/>
    <w:rsid w:val="003A6BDF"/>
    <w:rsid w:val="003A7147"/>
    <w:rsid w:val="003A7E77"/>
    <w:rsid w:val="003B0132"/>
    <w:rsid w:val="003B023A"/>
    <w:rsid w:val="003B02CB"/>
    <w:rsid w:val="003B0B3F"/>
    <w:rsid w:val="003B1D08"/>
    <w:rsid w:val="003B2448"/>
    <w:rsid w:val="003B2857"/>
    <w:rsid w:val="003B2A54"/>
    <w:rsid w:val="003B2CCB"/>
    <w:rsid w:val="003B3CCB"/>
    <w:rsid w:val="003B3F54"/>
    <w:rsid w:val="003B3FBE"/>
    <w:rsid w:val="003B4885"/>
    <w:rsid w:val="003B53EB"/>
    <w:rsid w:val="003B55EF"/>
    <w:rsid w:val="003B5A9B"/>
    <w:rsid w:val="003B5C0A"/>
    <w:rsid w:val="003B5DB5"/>
    <w:rsid w:val="003B5ED8"/>
    <w:rsid w:val="003B682D"/>
    <w:rsid w:val="003B74DC"/>
    <w:rsid w:val="003B79CE"/>
    <w:rsid w:val="003C05CB"/>
    <w:rsid w:val="003C080E"/>
    <w:rsid w:val="003C09B8"/>
    <w:rsid w:val="003C09FB"/>
    <w:rsid w:val="003C0DBE"/>
    <w:rsid w:val="003C1B0A"/>
    <w:rsid w:val="003C1B2A"/>
    <w:rsid w:val="003C201A"/>
    <w:rsid w:val="003C23B1"/>
    <w:rsid w:val="003C2BC8"/>
    <w:rsid w:val="003C30D0"/>
    <w:rsid w:val="003C3564"/>
    <w:rsid w:val="003C37F3"/>
    <w:rsid w:val="003C3BE0"/>
    <w:rsid w:val="003C3DED"/>
    <w:rsid w:val="003C41D2"/>
    <w:rsid w:val="003C4EC0"/>
    <w:rsid w:val="003C4F96"/>
    <w:rsid w:val="003C4F9C"/>
    <w:rsid w:val="003C5528"/>
    <w:rsid w:val="003C59FE"/>
    <w:rsid w:val="003C5CCF"/>
    <w:rsid w:val="003C69B8"/>
    <w:rsid w:val="003C6B4B"/>
    <w:rsid w:val="003D013B"/>
    <w:rsid w:val="003D0DC3"/>
    <w:rsid w:val="003D0EC1"/>
    <w:rsid w:val="003D11FB"/>
    <w:rsid w:val="003D1512"/>
    <w:rsid w:val="003D1552"/>
    <w:rsid w:val="003D1553"/>
    <w:rsid w:val="003D177B"/>
    <w:rsid w:val="003D18C7"/>
    <w:rsid w:val="003D1DF9"/>
    <w:rsid w:val="003D2082"/>
    <w:rsid w:val="003D2284"/>
    <w:rsid w:val="003D22E7"/>
    <w:rsid w:val="003D257D"/>
    <w:rsid w:val="003D29A1"/>
    <w:rsid w:val="003D2C72"/>
    <w:rsid w:val="003D2D32"/>
    <w:rsid w:val="003D2D95"/>
    <w:rsid w:val="003D2FB9"/>
    <w:rsid w:val="003D3016"/>
    <w:rsid w:val="003D30DE"/>
    <w:rsid w:val="003D3524"/>
    <w:rsid w:val="003D3CE1"/>
    <w:rsid w:val="003D3CF7"/>
    <w:rsid w:val="003D3D28"/>
    <w:rsid w:val="003D3F51"/>
    <w:rsid w:val="003D427B"/>
    <w:rsid w:val="003D43D3"/>
    <w:rsid w:val="003D4A18"/>
    <w:rsid w:val="003D4EAC"/>
    <w:rsid w:val="003D51F6"/>
    <w:rsid w:val="003D58D9"/>
    <w:rsid w:val="003D6254"/>
    <w:rsid w:val="003D6357"/>
    <w:rsid w:val="003D6365"/>
    <w:rsid w:val="003D6455"/>
    <w:rsid w:val="003D6997"/>
    <w:rsid w:val="003D6A23"/>
    <w:rsid w:val="003D713C"/>
    <w:rsid w:val="003E031C"/>
    <w:rsid w:val="003E0526"/>
    <w:rsid w:val="003E0AA3"/>
    <w:rsid w:val="003E0AFF"/>
    <w:rsid w:val="003E14F0"/>
    <w:rsid w:val="003E15B9"/>
    <w:rsid w:val="003E19D6"/>
    <w:rsid w:val="003E1A8E"/>
    <w:rsid w:val="003E1B6C"/>
    <w:rsid w:val="003E1ED7"/>
    <w:rsid w:val="003E22DA"/>
    <w:rsid w:val="003E259F"/>
    <w:rsid w:val="003E30E7"/>
    <w:rsid w:val="003E32C4"/>
    <w:rsid w:val="003E3FD3"/>
    <w:rsid w:val="003E4123"/>
    <w:rsid w:val="003E428C"/>
    <w:rsid w:val="003E4428"/>
    <w:rsid w:val="003E4759"/>
    <w:rsid w:val="003E4A57"/>
    <w:rsid w:val="003E4BD3"/>
    <w:rsid w:val="003E5422"/>
    <w:rsid w:val="003E5603"/>
    <w:rsid w:val="003E5817"/>
    <w:rsid w:val="003E5CAF"/>
    <w:rsid w:val="003E5DC2"/>
    <w:rsid w:val="003E5F07"/>
    <w:rsid w:val="003E6566"/>
    <w:rsid w:val="003E6876"/>
    <w:rsid w:val="003E6C6C"/>
    <w:rsid w:val="003E6ED4"/>
    <w:rsid w:val="003E6FC2"/>
    <w:rsid w:val="003E72F6"/>
    <w:rsid w:val="003E7346"/>
    <w:rsid w:val="003E74CB"/>
    <w:rsid w:val="003F0A28"/>
    <w:rsid w:val="003F0AEE"/>
    <w:rsid w:val="003F0CF0"/>
    <w:rsid w:val="003F0EE6"/>
    <w:rsid w:val="003F144C"/>
    <w:rsid w:val="003F1514"/>
    <w:rsid w:val="003F1E13"/>
    <w:rsid w:val="003F21C8"/>
    <w:rsid w:val="003F240B"/>
    <w:rsid w:val="003F24E8"/>
    <w:rsid w:val="003F266E"/>
    <w:rsid w:val="003F2725"/>
    <w:rsid w:val="003F2938"/>
    <w:rsid w:val="003F2C8A"/>
    <w:rsid w:val="003F381D"/>
    <w:rsid w:val="003F3C13"/>
    <w:rsid w:val="003F4068"/>
    <w:rsid w:val="003F412A"/>
    <w:rsid w:val="003F4586"/>
    <w:rsid w:val="003F49C3"/>
    <w:rsid w:val="003F4D38"/>
    <w:rsid w:val="003F4E1B"/>
    <w:rsid w:val="003F64D9"/>
    <w:rsid w:val="003F6DFF"/>
    <w:rsid w:val="003F76A8"/>
    <w:rsid w:val="003F7982"/>
    <w:rsid w:val="003F7E0B"/>
    <w:rsid w:val="004003E2"/>
    <w:rsid w:val="00400900"/>
    <w:rsid w:val="00400C1B"/>
    <w:rsid w:val="00400C32"/>
    <w:rsid w:val="00401097"/>
    <w:rsid w:val="00401503"/>
    <w:rsid w:val="004016D2"/>
    <w:rsid w:val="00401886"/>
    <w:rsid w:val="00401AE1"/>
    <w:rsid w:val="00401B18"/>
    <w:rsid w:val="00401DB8"/>
    <w:rsid w:val="00402642"/>
    <w:rsid w:val="004026D3"/>
    <w:rsid w:val="00402DE9"/>
    <w:rsid w:val="00403AE7"/>
    <w:rsid w:val="00404CA4"/>
    <w:rsid w:val="004055FA"/>
    <w:rsid w:val="00405E81"/>
    <w:rsid w:val="00405F82"/>
    <w:rsid w:val="00406340"/>
    <w:rsid w:val="00406972"/>
    <w:rsid w:val="00406EBE"/>
    <w:rsid w:val="00406F45"/>
    <w:rsid w:val="00407184"/>
    <w:rsid w:val="004077EA"/>
    <w:rsid w:val="00407936"/>
    <w:rsid w:val="00410202"/>
    <w:rsid w:val="00410EA5"/>
    <w:rsid w:val="0041143E"/>
    <w:rsid w:val="00411537"/>
    <w:rsid w:val="004124C8"/>
    <w:rsid w:val="00412B95"/>
    <w:rsid w:val="00412BA8"/>
    <w:rsid w:val="00413A56"/>
    <w:rsid w:val="00413C5D"/>
    <w:rsid w:val="00413F40"/>
    <w:rsid w:val="004144AB"/>
    <w:rsid w:val="0041461E"/>
    <w:rsid w:val="00415357"/>
    <w:rsid w:val="004153E5"/>
    <w:rsid w:val="00415C1D"/>
    <w:rsid w:val="00416C99"/>
    <w:rsid w:val="004173B4"/>
    <w:rsid w:val="0041745D"/>
    <w:rsid w:val="00417F87"/>
    <w:rsid w:val="00420189"/>
    <w:rsid w:val="00420376"/>
    <w:rsid w:val="004206B2"/>
    <w:rsid w:val="004209AC"/>
    <w:rsid w:val="004211D1"/>
    <w:rsid w:val="0042160C"/>
    <w:rsid w:val="00421912"/>
    <w:rsid w:val="0042199C"/>
    <w:rsid w:val="004219BB"/>
    <w:rsid w:val="00422709"/>
    <w:rsid w:val="004228C8"/>
    <w:rsid w:val="00422B2D"/>
    <w:rsid w:val="0042328D"/>
    <w:rsid w:val="00423707"/>
    <w:rsid w:val="0042371C"/>
    <w:rsid w:val="00423991"/>
    <w:rsid w:val="00423B58"/>
    <w:rsid w:val="00423F8B"/>
    <w:rsid w:val="004240E9"/>
    <w:rsid w:val="0042430D"/>
    <w:rsid w:val="00424C27"/>
    <w:rsid w:val="00424CA6"/>
    <w:rsid w:val="00424CDB"/>
    <w:rsid w:val="004252BD"/>
    <w:rsid w:val="00426508"/>
    <w:rsid w:val="004268C3"/>
    <w:rsid w:val="00427424"/>
    <w:rsid w:val="004276AB"/>
    <w:rsid w:val="00427BA0"/>
    <w:rsid w:val="00427D64"/>
    <w:rsid w:val="00430222"/>
    <w:rsid w:val="004305B5"/>
    <w:rsid w:val="00430CD5"/>
    <w:rsid w:val="00430D81"/>
    <w:rsid w:val="0043109B"/>
    <w:rsid w:val="00431D91"/>
    <w:rsid w:val="00431E9E"/>
    <w:rsid w:val="004323BC"/>
    <w:rsid w:val="004327BB"/>
    <w:rsid w:val="00432FA0"/>
    <w:rsid w:val="00433001"/>
    <w:rsid w:val="0043382E"/>
    <w:rsid w:val="00433A09"/>
    <w:rsid w:val="00434014"/>
    <w:rsid w:val="004343BE"/>
    <w:rsid w:val="0043468E"/>
    <w:rsid w:val="00434E60"/>
    <w:rsid w:val="004351EF"/>
    <w:rsid w:val="0043521B"/>
    <w:rsid w:val="0043537B"/>
    <w:rsid w:val="004355BC"/>
    <w:rsid w:val="0043561D"/>
    <w:rsid w:val="00435C1D"/>
    <w:rsid w:val="00435FBC"/>
    <w:rsid w:val="0043686B"/>
    <w:rsid w:val="00436965"/>
    <w:rsid w:val="00436C44"/>
    <w:rsid w:val="00436F9C"/>
    <w:rsid w:val="0043789C"/>
    <w:rsid w:val="00437CE3"/>
    <w:rsid w:val="004408AF"/>
    <w:rsid w:val="004408D9"/>
    <w:rsid w:val="00440A64"/>
    <w:rsid w:val="00440A9B"/>
    <w:rsid w:val="00440ECF"/>
    <w:rsid w:val="00440F7B"/>
    <w:rsid w:val="00441120"/>
    <w:rsid w:val="0044127C"/>
    <w:rsid w:val="0044150A"/>
    <w:rsid w:val="004416E8"/>
    <w:rsid w:val="00441A1C"/>
    <w:rsid w:val="00441ABB"/>
    <w:rsid w:val="00441C43"/>
    <w:rsid w:val="004421AD"/>
    <w:rsid w:val="00442798"/>
    <w:rsid w:val="00442D3D"/>
    <w:rsid w:val="00442F4A"/>
    <w:rsid w:val="0044310E"/>
    <w:rsid w:val="0044354E"/>
    <w:rsid w:val="0044363F"/>
    <w:rsid w:val="00443C53"/>
    <w:rsid w:val="00443F09"/>
    <w:rsid w:val="004441D5"/>
    <w:rsid w:val="0044430B"/>
    <w:rsid w:val="004445CA"/>
    <w:rsid w:val="00444615"/>
    <w:rsid w:val="00444806"/>
    <w:rsid w:val="0044485C"/>
    <w:rsid w:val="004449AC"/>
    <w:rsid w:val="004449AF"/>
    <w:rsid w:val="00444A32"/>
    <w:rsid w:val="0044508E"/>
    <w:rsid w:val="004453E7"/>
    <w:rsid w:val="00445BD2"/>
    <w:rsid w:val="00446516"/>
    <w:rsid w:val="0044655F"/>
    <w:rsid w:val="0044674A"/>
    <w:rsid w:val="00446944"/>
    <w:rsid w:val="00446C45"/>
    <w:rsid w:val="00447C57"/>
    <w:rsid w:val="00450045"/>
    <w:rsid w:val="0045043A"/>
    <w:rsid w:val="00450E36"/>
    <w:rsid w:val="00450E9A"/>
    <w:rsid w:val="00451177"/>
    <w:rsid w:val="0045140F"/>
    <w:rsid w:val="00451810"/>
    <w:rsid w:val="00451A3D"/>
    <w:rsid w:val="00452539"/>
    <w:rsid w:val="00452966"/>
    <w:rsid w:val="0045297A"/>
    <w:rsid w:val="00452AEB"/>
    <w:rsid w:val="00452B7D"/>
    <w:rsid w:val="00452C09"/>
    <w:rsid w:val="00452E79"/>
    <w:rsid w:val="00452FE5"/>
    <w:rsid w:val="0045309B"/>
    <w:rsid w:val="00454468"/>
    <w:rsid w:val="004546F1"/>
    <w:rsid w:val="004547C1"/>
    <w:rsid w:val="00454D50"/>
    <w:rsid w:val="004550A1"/>
    <w:rsid w:val="0045520E"/>
    <w:rsid w:val="00455431"/>
    <w:rsid w:val="00455D4C"/>
    <w:rsid w:val="00455F51"/>
    <w:rsid w:val="00456008"/>
    <w:rsid w:val="0045606F"/>
    <w:rsid w:val="004560D9"/>
    <w:rsid w:val="00456561"/>
    <w:rsid w:val="00456F1B"/>
    <w:rsid w:val="00457042"/>
    <w:rsid w:val="0045710E"/>
    <w:rsid w:val="004576F4"/>
    <w:rsid w:val="00457B13"/>
    <w:rsid w:val="00460067"/>
    <w:rsid w:val="0046011D"/>
    <w:rsid w:val="004601D1"/>
    <w:rsid w:val="0046047B"/>
    <w:rsid w:val="0046049A"/>
    <w:rsid w:val="00460778"/>
    <w:rsid w:val="004608D8"/>
    <w:rsid w:val="00460ED1"/>
    <w:rsid w:val="00460F83"/>
    <w:rsid w:val="004618F8"/>
    <w:rsid w:val="0046203D"/>
    <w:rsid w:val="004622BB"/>
    <w:rsid w:val="004625BA"/>
    <w:rsid w:val="00462831"/>
    <w:rsid w:val="004628F4"/>
    <w:rsid w:val="0046295D"/>
    <w:rsid w:val="00462AC2"/>
    <w:rsid w:val="00463D24"/>
    <w:rsid w:val="00463E68"/>
    <w:rsid w:val="004644E1"/>
    <w:rsid w:val="00464605"/>
    <w:rsid w:val="00464CD4"/>
    <w:rsid w:val="00465092"/>
    <w:rsid w:val="004652D9"/>
    <w:rsid w:val="004657D7"/>
    <w:rsid w:val="00466A94"/>
    <w:rsid w:val="00466B24"/>
    <w:rsid w:val="00466CE9"/>
    <w:rsid w:val="0046720C"/>
    <w:rsid w:val="004677A4"/>
    <w:rsid w:val="004677BD"/>
    <w:rsid w:val="0046787C"/>
    <w:rsid w:val="00467D1B"/>
    <w:rsid w:val="00467D57"/>
    <w:rsid w:val="00470713"/>
    <w:rsid w:val="00470A5C"/>
    <w:rsid w:val="0047138A"/>
    <w:rsid w:val="004713CB"/>
    <w:rsid w:val="00471E32"/>
    <w:rsid w:val="004723B6"/>
    <w:rsid w:val="00472582"/>
    <w:rsid w:val="00472756"/>
    <w:rsid w:val="0047287E"/>
    <w:rsid w:val="00472FA4"/>
    <w:rsid w:val="00473578"/>
    <w:rsid w:val="004739F0"/>
    <w:rsid w:val="00473D6C"/>
    <w:rsid w:val="00473F87"/>
    <w:rsid w:val="004740D1"/>
    <w:rsid w:val="004751F0"/>
    <w:rsid w:val="00475642"/>
    <w:rsid w:val="00475E06"/>
    <w:rsid w:val="00476187"/>
    <w:rsid w:val="00476F56"/>
    <w:rsid w:val="00477279"/>
    <w:rsid w:val="00477547"/>
    <w:rsid w:val="00477C2B"/>
    <w:rsid w:val="00477E6F"/>
    <w:rsid w:val="00480760"/>
    <w:rsid w:val="00480832"/>
    <w:rsid w:val="004808CF"/>
    <w:rsid w:val="00480ECF"/>
    <w:rsid w:val="00480F5D"/>
    <w:rsid w:val="00481344"/>
    <w:rsid w:val="004816E7"/>
    <w:rsid w:val="00481929"/>
    <w:rsid w:val="00481CC3"/>
    <w:rsid w:val="004820B3"/>
    <w:rsid w:val="00482771"/>
    <w:rsid w:val="004829A6"/>
    <w:rsid w:val="00482B76"/>
    <w:rsid w:val="00482C20"/>
    <w:rsid w:val="00483432"/>
    <w:rsid w:val="00483620"/>
    <w:rsid w:val="00483D07"/>
    <w:rsid w:val="00483EF5"/>
    <w:rsid w:val="0048450E"/>
    <w:rsid w:val="00484920"/>
    <w:rsid w:val="00485172"/>
    <w:rsid w:val="004852BD"/>
    <w:rsid w:val="004853B5"/>
    <w:rsid w:val="00485467"/>
    <w:rsid w:val="00485591"/>
    <w:rsid w:val="00485925"/>
    <w:rsid w:val="004873C7"/>
    <w:rsid w:val="00487F85"/>
    <w:rsid w:val="00487FE9"/>
    <w:rsid w:val="00490A77"/>
    <w:rsid w:val="00491013"/>
    <w:rsid w:val="0049122B"/>
    <w:rsid w:val="00491B5D"/>
    <w:rsid w:val="0049223F"/>
    <w:rsid w:val="00492538"/>
    <w:rsid w:val="00492554"/>
    <w:rsid w:val="0049395C"/>
    <w:rsid w:val="00493A87"/>
    <w:rsid w:val="004941BC"/>
    <w:rsid w:val="00494463"/>
    <w:rsid w:val="00495048"/>
    <w:rsid w:val="00495152"/>
    <w:rsid w:val="004952EE"/>
    <w:rsid w:val="004965AE"/>
    <w:rsid w:val="004969D9"/>
    <w:rsid w:val="004A0919"/>
    <w:rsid w:val="004A0AEF"/>
    <w:rsid w:val="004A0FDB"/>
    <w:rsid w:val="004A1016"/>
    <w:rsid w:val="004A1357"/>
    <w:rsid w:val="004A1478"/>
    <w:rsid w:val="004A1DF2"/>
    <w:rsid w:val="004A20FE"/>
    <w:rsid w:val="004A23F8"/>
    <w:rsid w:val="004A2D6E"/>
    <w:rsid w:val="004A40AA"/>
    <w:rsid w:val="004A430E"/>
    <w:rsid w:val="004A4367"/>
    <w:rsid w:val="004A4446"/>
    <w:rsid w:val="004A475C"/>
    <w:rsid w:val="004A47FF"/>
    <w:rsid w:val="004A495C"/>
    <w:rsid w:val="004A497D"/>
    <w:rsid w:val="004A564B"/>
    <w:rsid w:val="004A5C0B"/>
    <w:rsid w:val="004A5F96"/>
    <w:rsid w:val="004A6652"/>
    <w:rsid w:val="004A6961"/>
    <w:rsid w:val="004A6A67"/>
    <w:rsid w:val="004A6B16"/>
    <w:rsid w:val="004A70DF"/>
    <w:rsid w:val="004A71B5"/>
    <w:rsid w:val="004A73D3"/>
    <w:rsid w:val="004A7FC3"/>
    <w:rsid w:val="004B025A"/>
    <w:rsid w:val="004B08AE"/>
    <w:rsid w:val="004B134F"/>
    <w:rsid w:val="004B1399"/>
    <w:rsid w:val="004B149C"/>
    <w:rsid w:val="004B1D92"/>
    <w:rsid w:val="004B1F07"/>
    <w:rsid w:val="004B2A2F"/>
    <w:rsid w:val="004B2CE9"/>
    <w:rsid w:val="004B2D5E"/>
    <w:rsid w:val="004B2E99"/>
    <w:rsid w:val="004B310A"/>
    <w:rsid w:val="004B376F"/>
    <w:rsid w:val="004B3F84"/>
    <w:rsid w:val="004B474D"/>
    <w:rsid w:val="004B4CBD"/>
    <w:rsid w:val="004B4D04"/>
    <w:rsid w:val="004B51F4"/>
    <w:rsid w:val="004B538B"/>
    <w:rsid w:val="004B5860"/>
    <w:rsid w:val="004B6271"/>
    <w:rsid w:val="004B631C"/>
    <w:rsid w:val="004B6413"/>
    <w:rsid w:val="004B651B"/>
    <w:rsid w:val="004B6B67"/>
    <w:rsid w:val="004B6B80"/>
    <w:rsid w:val="004B6BAF"/>
    <w:rsid w:val="004B6BD2"/>
    <w:rsid w:val="004B6C6E"/>
    <w:rsid w:val="004B6D41"/>
    <w:rsid w:val="004B701F"/>
    <w:rsid w:val="004B7390"/>
    <w:rsid w:val="004B7967"/>
    <w:rsid w:val="004B7DA2"/>
    <w:rsid w:val="004C06F9"/>
    <w:rsid w:val="004C093B"/>
    <w:rsid w:val="004C0992"/>
    <w:rsid w:val="004C0BAA"/>
    <w:rsid w:val="004C0C45"/>
    <w:rsid w:val="004C15F2"/>
    <w:rsid w:val="004C1EC3"/>
    <w:rsid w:val="004C2457"/>
    <w:rsid w:val="004C284C"/>
    <w:rsid w:val="004C28FE"/>
    <w:rsid w:val="004C2BBB"/>
    <w:rsid w:val="004C362B"/>
    <w:rsid w:val="004C4101"/>
    <w:rsid w:val="004C445C"/>
    <w:rsid w:val="004C4CD6"/>
    <w:rsid w:val="004C518B"/>
    <w:rsid w:val="004C5356"/>
    <w:rsid w:val="004C55F8"/>
    <w:rsid w:val="004C5695"/>
    <w:rsid w:val="004C5963"/>
    <w:rsid w:val="004C5B63"/>
    <w:rsid w:val="004C61F8"/>
    <w:rsid w:val="004C6638"/>
    <w:rsid w:val="004C69CB"/>
    <w:rsid w:val="004C6C8A"/>
    <w:rsid w:val="004C730A"/>
    <w:rsid w:val="004C74CC"/>
    <w:rsid w:val="004C792A"/>
    <w:rsid w:val="004C7972"/>
    <w:rsid w:val="004C7CAF"/>
    <w:rsid w:val="004C7D75"/>
    <w:rsid w:val="004C7F72"/>
    <w:rsid w:val="004D003F"/>
    <w:rsid w:val="004D0340"/>
    <w:rsid w:val="004D05B3"/>
    <w:rsid w:val="004D07DF"/>
    <w:rsid w:val="004D0B4A"/>
    <w:rsid w:val="004D1318"/>
    <w:rsid w:val="004D14F3"/>
    <w:rsid w:val="004D164E"/>
    <w:rsid w:val="004D22F9"/>
    <w:rsid w:val="004D25DB"/>
    <w:rsid w:val="004D2694"/>
    <w:rsid w:val="004D2F9B"/>
    <w:rsid w:val="004D3477"/>
    <w:rsid w:val="004D39E2"/>
    <w:rsid w:val="004D3F94"/>
    <w:rsid w:val="004D4245"/>
    <w:rsid w:val="004D4361"/>
    <w:rsid w:val="004D458B"/>
    <w:rsid w:val="004D5451"/>
    <w:rsid w:val="004D5B05"/>
    <w:rsid w:val="004D5D7F"/>
    <w:rsid w:val="004D5EC7"/>
    <w:rsid w:val="004D6832"/>
    <w:rsid w:val="004D6A51"/>
    <w:rsid w:val="004D70AE"/>
    <w:rsid w:val="004D759B"/>
    <w:rsid w:val="004D7B8A"/>
    <w:rsid w:val="004E04B1"/>
    <w:rsid w:val="004E0830"/>
    <w:rsid w:val="004E08EA"/>
    <w:rsid w:val="004E1000"/>
    <w:rsid w:val="004E1060"/>
    <w:rsid w:val="004E16A3"/>
    <w:rsid w:val="004E1D19"/>
    <w:rsid w:val="004E296A"/>
    <w:rsid w:val="004E3360"/>
    <w:rsid w:val="004E452F"/>
    <w:rsid w:val="004E4915"/>
    <w:rsid w:val="004E4991"/>
    <w:rsid w:val="004E4B3B"/>
    <w:rsid w:val="004E5490"/>
    <w:rsid w:val="004E56B2"/>
    <w:rsid w:val="004E57C2"/>
    <w:rsid w:val="004E6588"/>
    <w:rsid w:val="004E6A68"/>
    <w:rsid w:val="004E72D1"/>
    <w:rsid w:val="004E756F"/>
    <w:rsid w:val="004E7D4D"/>
    <w:rsid w:val="004F05DE"/>
    <w:rsid w:val="004F0662"/>
    <w:rsid w:val="004F066E"/>
    <w:rsid w:val="004F0835"/>
    <w:rsid w:val="004F090A"/>
    <w:rsid w:val="004F0B18"/>
    <w:rsid w:val="004F0C4D"/>
    <w:rsid w:val="004F155E"/>
    <w:rsid w:val="004F18CF"/>
    <w:rsid w:val="004F1FA4"/>
    <w:rsid w:val="004F26F0"/>
    <w:rsid w:val="004F2782"/>
    <w:rsid w:val="004F284D"/>
    <w:rsid w:val="004F29E0"/>
    <w:rsid w:val="004F32D6"/>
    <w:rsid w:val="004F48A9"/>
    <w:rsid w:val="004F4B3A"/>
    <w:rsid w:val="004F5180"/>
    <w:rsid w:val="004F5331"/>
    <w:rsid w:val="004F587D"/>
    <w:rsid w:val="004F5A12"/>
    <w:rsid w:val="004F5F61"/>
    <w:rsid w:val="004F6558"/>
    <w:rsid w:val="004F65D5"/>
    <w:rsid w:val="004F7BE6"/>
    <w:rsid w:val="005006EA"/>
    <w:rsid w:val="00500752"/>
    <w:rsid w:val="00500A31"/>
    <w:rsid w:val="00500A48"/>
    <w:rsid w:val="00500C8B"/>
    <w:rsid w:val="00500D3E"/>
    <w:rsid w:val="00501A6B"/>
    <w:rsid w:val="00502117"/>
    <w:rsid w:val="00502D7E"/>
    <w:rsid w:val="005035D9"/>
    <w:rsid w:val="00503A40"/>
    <w:rsid w:val="00503E81"/>
    <w:rsid w:val="00503F20"/>
    <w:rsid w:val="00504C7D"/>
    <w:rsid w:val="00505173"/>
    <w:rsid w:val="005058C0"/>
    <w:rsid w:val="00505F0D"/>
    <w:rsid w:val="005069EE"/>
    <w:rsid w:val="00506ED1"/>
    <w:rsid w:val="005071AB"/>
    <w:rsid w:val="005077DE"/>
    <w:rsid w:val="005079C4"/>
    <w:rsid w:val="00507DAC"/>
    <w:rsid w:val="00507E16"/>
    <w:rsid w:val="00507E8E"/>
    <w:rsid w:val="005104AD"/>
    <w:rsid w:val="00510766"/>
    <w:rsid w:val="00511154"/>
    <w:rsid w:val="0051197E"/>
    <w:rsid w:val="00511B66"/>
    <w:rsid w:val="00512551"/>
    <w:rsid w:val="00512716"/>
    <w:rsid w:val="0051280B"/>
    <w:rsid w:val="00513238"/>
    <w:rsid w:val="005132A4"/>
    <w:rsid w:val="00513414"/>
    <w:rsid w:val="005136A5"/>
    <w:rsid w:val="00513786"/>
    <w:rsid w:val="0051414C"/>
    <w:rsid w:val="00514541"/>
    <w:rsid w:val="005147AE"/>
    <w:rsid w:val="00514E37"/>
    <w:rsid w:val="00514ED5"/>
    <w:rsid w:val="005153DB"/>
    <w:rsid w:val="00515632"/>
    <w:rsid w:val="00515A4F"/>
    <w:rsid w:val="00515AB5"/>
    <w:rsid w:val="00515C21"/>
    <w:rsid w:val="005160AC"/>
    <w:rsid w:val="00516345"/>
    <w:rsid w:val="005165B4"/>
    <w:rsid w:val="00516B1C"/>
    <w:rsid w:val="005172E2"/>
    <w:rsid w:val="00517B8E"/>
    <w:rsid w:val="00517C6B"/>
    <w:rsid w:val="00517CD4"/>
    <w:rsid w:val="00517E8C"/>
    <w:rsid w:val="0052008E"/>
    <w:rsid w:val="005207E1"/>
    <w:rsid w:val="00520BE9"/>
    <w:rsid w:val="00520BFE"/>
    <w:rsid w:val="00520C83"/>
    <w:rsid w:val="0052121A"/>
    <w:rsid w:val="00521725"/>
    <w:rsid w:val="00521D3F"/>
    <w:rsid w:val="00521F41"/>
    <w:rsid w:val="0052218E"/>
    <w:rsid w:val="00522911"/>
    <w:rsid w:val="00522A49"/>
    <w:rsid w:val="00522B6B"/>
    <w:rsid w:val="00522C04"/>
    <w:rsid w:val="00522E0F"/>
    <w:rsid w:val="0052321E"/>
    <w:rsid w:val="00523373"/>
    <w:rsid w:val="005235CD"/>
    <w:rsid w:val="00523BA9"/>
    <w:rsid w:val="00523CAB"/>
    <w:rsid w:val="00523F28"/>
    <w:rsid w:val="0052413E"/>
    <w:rsid w:val="00524416"/>
    <w:rsid w:val="005249CB"/>
    <w:rsid w:val="00524A1A"/>
    <w:rsid w:val="00524CA2"/>
    <w:rsid w:val="00524D56"/>
    <w:rsid w:val="00524EDA"/>
    <w:rsid w:val="00524FFF"/>
    <w:rsid w:val="00525D1E"/>
    <w:rsid w:val="00526213"/>
    <w:rsid w:val="0052640A"/>
    <w:rsid w:val="005264E9"/>
    <w:rsid w:val="00526615"/>
    <w:rsid w:val="00527048"/>
    <w:rsid w:val="0052707F"/>
    <w:rsid w:val="0052752D"/>
    <w:rsid w:val="005278EA"/>
    <w:rsid w:val="00527A05"/>
    <w:rsid w:val="00527A61"/>
    <w:rsid w:val="0053025E"/>
    <w:rsid w:val="005307B7"/>
    <w:rsid w:val="00530915"/>
    <w:rsid w:val="00530B8B"/>
    <w:rsid w:val="00530E29"/>
    <w:rsid w:val="00530F1D"/>
    <w:rsid w:val="00530FA0"/>
    <w:rsid w:val="0053194C"/>
    <w:rsid w:val="005319C8"/>
    <w:rsid w:val="00531AC3"/>
    <w:rsid w:val="00531CBA"/>
    <w:rsid w:val="00531D65"/>
    <w:rsid w:val="00532395"/>
    <w:rsid w:val="00532996"/>
    <w:rsid w:val="00532A9D"/>
    <w:rsid w:val="00532ECB"/>
    <w:rsid w:val="0053339A"/>
    <w:rsid w:val="00533905"/>
    <w:rsid w:val="00534962"/>
    <w:rsid w:val="00534B6B"/>
    <w:rsid w:val="005350D8"/>
    <w:rsid w:val="00535192"/>
    <w:rsid w:val="00535625"/>
    <w:rsid w:val="005356B9"/>
    <w:rsid w:val="00535D58"/>
    <w:rsid w:val="005361AE"/>
    <w:rsid w:val="00536237"/>
    <w:rsid w:val="0053694F"/>
    <w:rsid w:val="00536A62"/>
    <w:rsid w:val="00536B10"/>
    <w:rsid w:val="00536D70"/>
    <w:rsid w:val="0053703A"/>
    <w:rsid w:val="00537052"/>
    <w:rsid w:val="00537487"/>
    <w:rsid w:val="00537548"/>
    <w:rsid w:val="00540529"/>
    <w:rsid w:val="0054065A"/>
    <w:rsid w:val="005409ED"/>
    <w:rsid w:val="00540ABB"/>
    <w:rsid w:val="00540C02"/>
    <w:rsid w:val="00540CA1"/>
    <w:rsid w:val="00540DB4"/>
    <w:rsid w:val="00540E40"/>
    <w:rsid w:val="00540F85"/>
    <w:rsid w:val="00542004"/>
    <w:rsid w:val="00542822"/>
    <w:rsid w:val="00542A01"/>
    <w:rsid w:val="00542E30"/>
    <w:rsid w:val="00542FEA"/>
    <w:rsid w:val="00543AB9"/>
    <w:rsid w:val="005440D8"/>
    <w:rsid w:val="005443A2"/>
    <w:rsid w:val="0054452E"/>
    <w:rsid w:val="00544B0C"/>
    <w:rsid w:val="0054516C"/>
    <w:rsid w:val="00545296"/>
    <w:rsid w:val="005452D9"/>
    <w:rsid w:val="0054532A"/>
    <w:rsid w:val="005456D5"/>
    <w:rsid w:val="00545C71"/>
    <w:rsid w:val="00545CFF"/>
    <w:rsid w:val="005460DF"/>
    <w:rsid w:val="00546182"/>
    <w:rsid w:val="0054658A"/>
    <w:rsid w:val="005466B9"/>
    <w:rsid w:val="00546870"/>
    <w:rsid w:val="005468BA"/>
    <w:rsid w:val="00546BB4"/>
    <w:rsid w:val="00546C5F"/>
    <w:rsid w:val="00546DE9"/>
    <w:rsid w:val="00546F6B"/>
    <w:rsid w:val="00547595"/>
    <w:rsid w:val="00547EFD"/>
    <w:rsid w:val="00550054"/>
    <w:rsid w:val="0055060E"/>
    <w:rsid w:val="00550989"/>
    <w:rsid w:val="00550C77"/>
    <w:rsid w:val="00550CB5"/>
    <w:rsid w:val="00550F4E"/>
    <w:rsid w:val="005510EB"/>
    <w:rsid w:val="00551134"/>
    <w:rsid w:val="005515E5"/>
    <w:rsid w:val="005521D7"/>
    <w:rsid w:val="00552A54"/>
    <w:rsid w:val="00552ABA"/>
    <w:rsid w:val="00552FCF"/>
    <w:rsid w:val="00553340"/>
    <w:rsid w:val="00553AA8"/>
    <w:rsid w:val="00553C7A"/>
    <w:rsid w:val="00553E24"/>
    <w:rsid w:val="00553E8D"/>
    <w:rsid w:val="00554256"/>
    <w:rsid w:val="005546DF"/>
    <w:rsid w:val="005548B3"/>
    <w:rsid w:val="005548CB"/>
    <w:rsid w:val="00554BF1"/>
    <w:rsid w:val="00554DE4"/>
    <w:rsid w:val="005553EB"/>
    <w:rsid w:val="00555A90"/>
    <w:rsid w:val="00555E79"/>
    <w:rsid w:val="00556286"/>
    <w:rsid w:val="005565C3"/>
    <w:rsid w:val="00556617"/>
    <w:rsid w:val="00556A13"/>
    <w:rsid w:val="00556D6E"/>
    <w:rsid w:val="00556D94"/>
    <w:rsid w:val="00556F14"/>
    <w:rsid w:val="00557A13"/>
    <w:rsid w:val="00557FC2"/>
    <w:rsid w:val="005609D1"/>
    <w:rsid w:val="00560A9F"/>
    <w:rsid w:val="005615F0"/>
    <w:rsid w:val="00561648"/>
    <w:rsid w:val="00561A3C"/>
    <w:rsid w:val="00561D89"/>
    <w:rsid w:val="0056227F"/>
    <w:rsid w:val="00562552"/>
    <w:rsid w:val="00562584"/>
    <w:rsid w:val="005625D6"/>
    <w:rsid w:val="0056273D"/>
    <w:rsid w:val="0056274E"/>
    <w:rsid w:val="005629F7"/>
    <w:rsid w:val="00562BFB"/>
    <w:rsid w:val="00562CF7"/>
    <w:rsid w:val="00562F1F"/>
    <w:rsid w:val="00562FC0"/>
    <w:rsid w:val="005631A8"/>
    <w:rsid w:val="00563E8B"/>
    <w:rsid w:val="005649D3"/>
    <w:rsid w:val="005650C5"/>
    <w:rsid w:val="00565338"/>
    <w:rsid w:val="0056597A"/>
    <w:rsid w:val="00565CA7"/>
    <w:rsid w:val="0056657C"/>
    <w:rsid w:val="00566D92"/>
    <w:rsid w:val="005673C1"/>
    <w:rsid w:val="00567C29"/>
    <w:rsid w:val="00567CEF"/>
    <w:rsid w:val="00567DF8"/>
    <w:rsid w:val="00567F35"/>
    <w:rsid w:val="0057015B"/>
    <w:rsid w:val="0057120A"/>
    <w:rsid w:val="00571CC2"/>
    <w:rsid w:val="0057216E"/>
    <w:rsid w:val="0057257D"/>
    <w:rsid w:val="00572904"/>
    <w:rsid w:val="00572924"/>
    <w:rsid w:val="0057295A"/>
    <w:rsid w:val="0057379B"/>
    <w:rsid w:val="00573A62"/>
    <w:rsid w:val="00574247"/>
    <w:rsid w:val="00574F77"/>
    <w:rsid w:val="005768D1"/>
    <w:rsid w:val="00576967"/>
    <w:rsid w:val="00577909"/>
    <w:rsid w:val="00577F48"/>
    <w:rsid w:val="0058011E"/>
    <w:rsid w:val="005807C3"/>
    <w:rsid w:val="00580A6F"/>
    <w:rsid w:val="00581299"/>
    <w:rsid w:val="00581A38"/>
    <w:rsid w:val="00581AC8"/>
    <w:rsid w:val="00581FDE"/>
    <w:rsid w:val="00582C9B"/>
    <w:rsid w:val="00582DED"/>
    <w:rsid w:val="00582E3E"/>
    <w:rsid w:val="00582F38"/>
    <w:rsid w:val="00583344"/>
    <w:rsid w:val="005835BF"/>
    <w:rsid w:val="00584586"/>
    <w:rsid w:val="00584C6E"/>
    <w:rsid w:val="00584CE7"/>
    <w:rsid w:val="00584E0B"/>
    <w:rsid w:val="005854A1"/>
    <w:rsid w:val="005854C6"/>
    <w:rsid w:val="00586305"/>
    <w:rsid w:val="00586597"/>
    <w:rsid w:val="00586711"/>
    <w:rsid w:val="00586849"/>
    <w:rsid w:val="00586F0C"/>
    <w:rsid w:val="0058703F"/>
    <w:rsid w:val="00587139"/>
    <w:rsid w:val="00587154"/>
    <w:rsid w:val="00587179"/>
    <w:rsid w:val="005871A0"/>
    <w:rsid w:val="005872E8"/>
    <w:rsid w:val="00587C9A"/>
    <w:rsid w:val="005906A6"/>
    <w:rsid w:val="00590B51"/>
    <w:rsid w:val="00590D98"/>
    <w:rsid w:val="005911CE"/>
    <w:rsid w:val="00591205"/>
    <w:rsid w:val="00591DA3"/>
    <w:rsid w:val="0059207C"/>
    <w:rsid w:val="005922A7"/>
    <w:rsid w:val="00592B7A"/>
    <w:rsid w:val="00592C64"/>
    <w:rsid w:val="00593942"/>
    <w:rsid w:val="00593BDE"/>
    <w:rsid w:val="0059402B"/>
    <w:rsid w:val="00594111"/>
    <w:rsid w:val="00594534"/>
    <w:rsid w:val="00594AB6"/>
    <w:rsid w:val="00594AC6"/>
    <w:rsid w:val="00595285"/>
    <w:rsid w:val="005952B2"/>
    <w:rsid w:val="005959FB"/>
    <w:rsid w:val="00595C54"/>
    <w:rsid w:val="00595F1E"/>
    <w:rsid w:val="0059668B"/>
    <w:rsid w:val="00596863"/>
    <w:rsid w:val="00596B8D"/>
    <w:rsid w:val="00596C96"/>
    <w:rsid w:val="005974D9"/>
    <w:rsid w:val="005A07C8"/>
    <w:rsid w:val="005A094A"/>
    <w:rsid w:val="005A0B86"/>
    <w:rsid w:val="005A0C27"/>
    <w:rsid w:val="005A0D1A"/>
    <w:rsid w:val="005A172E"/>
    <w:rsid w:val="005A1B7E"/>
    <w:rsid w:val="005A20E9"/>
    <w:rsid w:val="005A27EB"/>
    <w:rsid w:val="005A2A14"/>
    <w:rsid w:val="005A2A4F"/>
    <w:rsid w:val="005A301E"/>
    <w:rsid w:val="005A3463"/>
    <w:rsid w:val="005A4054"/>
    <w:rsid w:val="005A405E"/>
    <w:rsid w:val="005A4454"/>
    <w:rsid w:val="005A44A0"/>
    <w:rsid w:val="005A46D2"/>
    <w:rsid w:val="005A50BF"/>
    <w:rsid w:val="005A5BE9"/>
    <w:rsid w:val="005A65B2"/>
    <w:rsid w:val="005A6F75"/>
    <w:rsid w:val="005A7501"/>
    <w:rsid w:val="005A7850"/>
    <w:rsid w:val="005A7BA6"/>
    <w:rsid w:val="005B0986"/>
    <w:rsid w:val="005B1001"/>
    <w:rsid w:val="005B15D7"/>
    <w:rsid w:val="005B1786"/>
    <w:rsid w:val="005B1984"/>
    <w:rsid w:val="005B19B9"/>
    <w:rsid w:val="005B1FF7"/>
    <w:rsid w:val="005B205D"/>
    <w:rsid w:val="005B2693"/>
    <w:rsid w:val="005B26D3"/>
    <w:rsid w:val="005B271C"/>
    <w:rsid w:val="005B273A"/>
    <w:rsid w:val="005B2998"/>
    <w:rsid w:val="005B3883"/>
    <w:rsid w:val="005B38BB"/>
    <w:rsid w:val="005B3E13"/>
    <w:rsid w:val="005B3FED"/>
    <w:rsid w:val="005B45A1"/>
    <w:rsid w:val="005B5094"/>
    <w:rsid w:val="005B50FD"/>
    <w:rsid w:val="005B56FB"/>
    <w:rsid w:val="005B5875"/>
    <w:rsid w:val="005B5A76"/>
    <w:rsid w:val="005B5B25"/>
    <w:rsid w:val="005B5C39"/>
    <w:rsid w:val="005B5FFF"/>
    <w:rsid w:val="005B6536"/>
    <w:rsid w:val="005B6554"/>
    <w:rsid w:val="005B6DBA"/>
    <w:rsid w:val="005B6FB1"/>
    <w:rsid w:val="005B73D2"/>
    <w:rsid w:val="005B7824"/>
    <w:rsid w:val="005C08CB"/>
    <w:rsid w:val="005C124D"/>
    <w:rsid w:val="005C162F"/>
    <w:rsid w:val="005C17FA"/>
    <w:rsid w:val="005C1964"/>
    <w:rsid w:val="005C28A1"/>
    <w:rsid w:val="005C2FE7"/>
    <w:rsid w:val="005C3112"/>
    <w:rsid w:val="005C3224"/>
    <w:rsid w:val="005C3C50"/>
    <w:rsid w:val="005C3D0D"/>
    <w:rsid w:val="005C3F59"/>
    <w:rsid w:val="005C4A7C"/>
    <w:rsid w:val="005C4D25"/>
    <w:rsid w:val="005C4FC7"/>
    <w:rsid w:val="005C52BD"/>
    <w:rsid w:val="005C53B3"/>
    <w:rsid w:val="005C59C9"/>
    <w:rsid w:val="005C5DCB"/>
    <w:rsid w:val="005C6327"/>
    <w:rsid w:val="005C70E4"/>
    <w:rsid w:val="005C76F6"/>
    <w:rsid w:val="005C7A3C"/>
    <w:rsid w:val="005D0682"/>
    <w:rsid w:val="005D0C23"/>
    <w:rsid w:val="005D17B2"/>
    <w:rsid w:val="005D1B66"/>
    <w:rsid w:val="005D2425"/>
    <w:rsid w:val="005D2955"/>
    <w:rsid w:val="005D2F89"/>
    <w:rsid w:val="005D2FEA"/>
    <w:rsid w:val="005D334B"/>
    <w:rsid w:val="005D384E"/>
    <w:rsid w:val="005D38EE"/>
    <w:rsid w:val="005D39D4"/>
    <w:rsid w:val="005D3CDC"/>
    <w:rsid w:val="005D3E34"/>
    <w:rsid w:val="005D461B"/>
    <w:rsid w:val="005D470C"/>
    <w:rsid w:val="005D477D"/>
    <w:rsid w:val="005D4E6E"/>
    <w:rsid w:val="005D4F4A"/>
    <w:rsid w:val="005D5393"/>
    <w:rsid w:val="005D5898"/>
    <w:rsid w:val="005D61DA"/>
    <w:rsid w:val="005D6DDC"/>
    <w:rsid w:val="005D7171"/>
    <w:rsid w:val="005D7430"/>
    <w:rsid w:val="005D76CD"/>
    <w:rsid w:val="005D7717"/>
    <w:rsid w:val="005D7A3F"/>
    <w:rsid w:val="005E0041"/>
    <w:rsid w:val="005E00A2"/>
    <w:rsid w:val="005E0520"/>
    <w:rsid w:val="005E063D"/>
    <w:rsid w:val="005E0965"/>
    <w:rsid w:val="005E0ADB"/>
    <w:rsid w:val="005E0CB6"/>
    <w:rsid w:val="005E0EFC"/>
    <w:rsid w:val="005E10BD"/>
    <w:rsid w:val="005E1407"/>
    <w:rsid w:val="005E1C2F"/>
    <w:rsid w:val="005E1D1B"/>
    <w:rsid w:val="005E2BDF"/>
    <w:rsid w:val="005E3294"/>
    <w:rsid w:val="005E335F"/>
    <w:rsid w:val="005E36C5"/>
    <w:rsid w:val="005E3D19"/>
    <w:rsid w:val="005E4173"/>
    <w:rsid w:val="005E4419"/>
    <w:rsid w:val="005E47C5"/>
    <w:rsid w:val="005E4D50"/>
    <w:rsid w:val="005E4EC9"/>
    <w:rsid w:val="005E4EE6"/>
    <w:rsid w:val="005E55FC"/>
    <w:rsid w:val="005E5A7B"/>
    <w:rsid w:val="005E5B31"/>
    <w:rsid w:val="005E5D43"/>
    <w:rsid w:val="005E63A5"/>
    <w:rsid w:val="005E6A19"/>
    <w:rsid w:val="005E6B7E"/>
    <w:rsid w:val="005E6FD1"/>
    <w:rsid w:val="005E70CA"/>
    <w:rsid w:val="005E751F"/>
    <w:rsid w:val="005E768D"/>
    <w:rsid w:val="005E76AC"/>
    <w:rsid w:val="005E76F2"/>
    <w:rsid w:val="005F0144"/>
    <w:rsid w:val="005F01E6"/>
    <w:rsid w:val="005F0221"/>
    <w:rsid w:val="005F0584"/>
    <w:rsid w:val="005F09F7"/>
    <w:rsid w:val="005F0AC6"/>
    <w:rsid w:val="005F0E30"/>
    <w:rsid w:val="005F11C4"/>
    <w:rsid w:val="005F1387"/>
    <w:rsid w:val="005F1A86"/>
    <w:rsid w:val="005F1AE2"/>
    <w:rsid w:val="005F1FA0"/>
    <w:rsid w:val="005F2EBC"/>
    <w:rsid w:val="005F2F5A"/>
    <w:rsid w:val="005F3035"/>
    <w:rsid w:val="005F311E"/>
    <w:rsid w:val="005F3525"/>
    <w:rsid w:val="005F3862"/>
    <w:rsid w:val="005F3EDA"/>
    <w:rsid w:val="005F42D4"/>
    <w:rsid w:val="005F44DF"/>
    <w:rsid w:val="005F4696"/>
    <w:rsid w:val="005F475D"/>
    <w:rsid w:val="005F48C9"/>
    <w:rsid w:val="005F4A95"/>
    <w:rsid w:val="005F4BC9"/>
    <w:rsid w:val="005F517A"/>
    <w:rsid w:val="005F55D9"/>
    <w:rsid w:val="005F5633"/>
    <w:rsid w:val="005F57AF"/>
    <w:rsid w:val="005F5D13"/>
    <w:rsid w:val="005F5E08"/>
    <w:rsid w:val="005F5F01"/>
    <w:rsid w:val="005F6088"/>
    <w:rsid w:val="005F61F2"/>
    <w:rsid w:val="005F61FD"/>
    <w:rsid w:val="005F6348"/>
    <w:rsid w:val="005F6E04"/>
    <w:rsid w:val="005F707B"/>
    <w:rsid w:val="005F75F5"/>
    <w:rsid w:val="005F7667"/>
    <w:rsid w:val="005F792B"/>
    <w:rsid w:val="00600293"/>
    <w:rsid w:val="0060056D"/>
    <w:rsid w:val="00600AE3"/>
    <w:rsid w:val="006016C0"/>
    <w:rsid w:val="00601CBC"/>
    <w:rsid w:val="00601D53"/>
    <w:rsid w:val="006020E5"/>
    <w:rsid w:val="006024AD"/>
    <w:rsid w:val="00602A3C"/>
    <w:rsid w:val="00602A68"/>
    <w:rsid w:val="00602C05"/>
    <w:rsid w:val="00605265"/>
    <w:rsid w:val="00605373"/>
    <w:rsid w:val="006056DF"/>
    <w:rsid w:val="00606B91"/>
    <w:rsid w:val="00607251"/>
    <w:rsid w:val="00607275"/>
    <w:rsid w:val="006072FB"/>
    <w:rsid w:val="0060730F"/>
    <w:rsid w:val="00607610"/>
    <w:rsid w:val="00607E68"/>
    <w:rsid w:val="006100AC"/>
    <w:rsid w:val="0061055A"/>
    <w:rsid w:val="00610A32"/>
    <w:rsid w:val="00610ACD"/>
    <w:rsid w:val="00610E88"/>
    <w:rsid w:val="00611088"/>
    <w:rsid w:val="00611090"/>
    <w:rsid w:val="006111E2"/>
    <w:rsid w:val="0061136E"/>
    <w:rsid w:val="0061168D"/>
    <w:rsid w:val="00612081"/>
    <w:rsid w:val="006126C7"/>
    <w:rsid w:val="0061298D"/>
    <w:rsid w:val="006129B0"/>
    <w:rsid w:val="00612BBB"/>
    <w:rsid w:val="00612C65"/>
    <w:rsid w:val="0061343D"/>
    <w:rsid w:val="006137A0"/>
    <w:rsid w:val="00614128"/>
    <w:rsid w:val="006149A4"/>
    <w:rsid w:val="006150A3"/>
    <w:rsid w:val="00615306"/>
    <w:rsid w:val="00615743"/>
    <w:rsid w:val="006158F4"/>
    <w:rsid w:val="00615A42"/>
    <w:rsid w:val="00615B9A"/>
    <w:rsid w:val="006167DA"/>
    <w:rsid w:val="00616A46"/>
    <w:rsid w:val="00616B2E"/>
    <w:rsid w:val="00617D10"/>
    <w:rsid w:val="006200DC"/>
    <w:rsid w:val="0062060E"/>
    <w:rsid w:val="0062075C"/>
    <w:rsid w:val="00620C36"/>
    <w:rsid w:val="00620C57"/>
    <w:rsid w:val="00621A7A"/>
    <w:rsid w:val="00622789"/>
    <w:rsid w:val="00622841"/>
    <w:rsid w:val="006228AB"/>
    <w:rsid w:val="00622D8C"/>
    <w:rsid w:val="00623163"/>
    <w:rsid w:val="006233DE"/>
    <w:rsid w:val="006235BA"/>
    <w:rsid w:val="0062363A"/>
    <w:rsid w:val="0062364B"/>
    <w:rsid w:val="00623DBA"/>
    <w:rsid w:val="00623FE0"/>
    <w:rsid w:val="0062417E"/>
    <w:rsid w:val="006242BB"/>
    <w:rsid w:val="006245F6"/>
    <w:rsid w:val="00625326"/>
    <w:rsid w:val="00625533"/>
    <w:rsid w:val="0062584E"/>
    <w:rsid w:val="00626067"/>
    <w:rsid w:val="00626821"/>
    <w:rsid w:val="00626854"/>
    <w:rsid w:val="00626A9D"/>
    <w:rsid w:val="00626DD5"/>
    <w:rsid w:val="00627AA9"/>
    <w:rsid w:val="0063043F"/>
    <w:rsid w:val="00631DA2"/>
    <w:rsid w:val="00631DCB"/>
    <w:rsid w:val="00632368"/>
    <w:rsid w:val="00632563"/>
    <w:rsid w:val="006325D0"/>
    <w:rsid w:val="00632D45"/>
    <w:rsid w:val="00632FCB"/>
    <w:rsid w:val="00633036"/>
    <w:rsid w:val="006332C9"/>
    <w:rsid w:val="006336F0"/>
    <w:rsid w:val="00633ADC"/>
    <w:rsid w:val="0063432F"/>
    <w:rsid w:val="006343E3"/>
    <w:rsid w:val="00634740"/>
    <w:rsid w:val="00634796"/>
    <w:rsid w:val="0063497C"/>
    <w:rsid w:val="006353F5"/>
    <w:rsid w:val="006357CC"/>
    <w:rsid w:val="00635C20"/>
    <w:rsid w:val="006361FC"/>
    <w:rsid w:val="00636A47"/>
    <w:rsid w:val="00637AA2"/>
    <w:rsid w:val="00637B3B"/>
    <w:rsid w:val="0064068E"/>
    <w:rsid w:val="00640C62"/>
    <w:rsid w:val="00640D84"/>
    <w:rsid w:val="00641F10"/>
    <w:rsid w:val="00641FB2"/>
    <w:rsid w:val="00642776"/>
    <w:rsid w:val="0064287F"/>
    <w:rsid w:val="00643A54"/>
    <w:rsid w:val="00643B1E"/>
    <w:rsid w:val="0064455D"/>
    <w:rsid w:val="00644E1E"/>
    <w:rsid w:val="0064508E"/>
    <w:rsid w:val="006450E9"/>
    <w:rsid w:val="006450ED"/>
    <w:rsid w:val="0064546B"/>
    <w:rsid w:val="00645477"/>
    <w:rsid w:val="00645878"/>
    <w:rsid w:val="00645959"/>
    <w:rsid w:val="00645D4C"/>
    <w:rsid w:val="00646156"/>
    <w:rsid w:val="0064636F"/>
    <w:rsid w:val="006465FE"/>
    <w:rsid w:val="006467A0"/>
    <w:rsid w:val="00646E7A"/>
    <w:rsid w:val="00647152"/>
    <w:rsid w:val="00647447"/>
    <w:rsid w:val="00647B86"/>
    <w:rsid w:val="00647E07"/>
    <w:rsid w:val="00650B1C"/>
    <w:rsid w:val="00650BDE"/>
    <w:rsid w:val="00650CD6"/>
    <w:rsid w:val="006512E9"/>
    <w:rsid w:val="006513ED"/>
    <w:rsid w:val="00651618"/>
    <w:rsid w:val="00651845"/>
    <w:rsid w:val="00651B87"/>
    <w:rsid w:val="00651D2B"/>
    <w:rsid w:val="00652C3A"/>
    <w:rsid w:val="00652EFD"/>
    <w:rsid w:val="00653505"/>
    <w:rsid w:val="00654071"/>
    <w:rsid w:val="00654283"/>
    <w:rsid w:val="00655740"/>
    <w:rsid w:val="006558B9"/>
    <w:rsid w:val="00655ACA"/>
    <w:rsid w:val="00656088"/>
    <w:rsid w:val="00656232"/>
    <w:rsid w:val="00656A5D"/>
    <w:rsid w:val="00656A93"/>
    <w:rsid w:val="0065743C"/>
    <w:rsid w:val="006576F9"/>
    <w:rsid w:val="006578E1"/>
    <w:rsid w:val="006579FB"/>
    <w:rsid w:val="00657E5F"/>
    <w:rsid w:val="00660382"/>
    <w:rsid w:val="00660859"/>
    <w:rsid w:val="00660D82"/>
    <w:rsid w:val="00661ADE"/>
    <w:rsid w:val="00661D8D"/>
    <w:rsid w:val="00661ECF"/>
    <w:rsid w:val="00661FB7"/>
    <w:rsid w:val="00662157"/>
    <w:rsid w:val="00662188"/>
    <w:rsid w:val="00662439"/>
    <w:rsid w:val="00662AF7"/>
    <w:rsid w:val="00662BA4"/>
    <w:rsid w:val="006630AD"/>
    <w:rsid w:val="00663140"/>
    <w:rsid w:val="006634F6"/>
    <w:rsid w:val="00663500"/>
    <w:rsid w:val="00663B3B"/>
    <w:rsid w:val="00663CE7"/>
    <w:rsid w:val="00663D5B"/>
    <w:rsid w:val="00663D97"/>
    <w:rsid w:val="00664327"/>
    <w:rsid w:val="00664348"/>
    <w:rsid w:val="0066488D"/>
    <w:rsid w:val="00664AB1"/>
    <w:rsid w:val="00664EE1"/>
    <w:rsid w:val="0066528E"/>
    <w:rsid w:val="00666259"/>
    <w:rsid w:val="006662D1"/>
    <w:rsid w:val="00666554"/>
    <w:rsid w:val="00666636"/>
    <w:rsid w:val="00667164"/>
    <w:rsid w:val="0066749C"/>
    <w:rsid w:val="00670172"/>
    <w:rsid w:val="006707C0"/>
    <w:rsid w:val="006707F5"/>
    <w:rsid w:val="00670A6A"/>
    <w:rsid w:val="006714F2"/>
    <w:rsid w:val="00672006"/>
    <w:rsid w:val="0067230A"/>
    <w:rsid w:val="006725F8"/>
    <w:rsid w:val="0067261B"/>
    <w:rsid w:val="00672849"/>
    <w:rsid w:val="00674288"/>
    <w:rsid w:val="006744D9"/>
    <w:rsid w:val="00674E73"/>
    <w:rsid w:val="00675416"/>
    <w:rsid w:val="006759F3"/>
    <w:rsid w:val="006760CC"/>
    <w:rsid w:val="0067632D"/>
    <w:rsid w:val="0067677F"/>
    <w:rsid w:val="00676783"/>
    <w:rsid w:val="00676E88"/>
    <w:rsid w:val="006771A0"/>
    <w:rsid w:val="00677518"/>
    <w:rsid w:val="00677876"/>
    <w:rsid w:val="006779A4"/>
    <w:rsid w:val="00677B23"/>
    <w:rsid w:val="00682868"/>
    <w:rsid w:val="006828E7"/>
    <w:rsid w:val="00682B32"/>
    <w:rsid w:val="00683216"/>
    <w:rsid w:val="00683ABD"/>
    <w:rsid w:val="00684A8E"/>
    <w:rsid w:val="0068509B"/>
    <w:rsid w:val="006854DD"/>
    <w:rsid w:val="00685659"/>
    <w:rsid w:val="00685A07"/>
    <w:rsid w:val="00685E6C"/>
    <w:rsid w:val="00685F9F"/>
    <w:rsid w:val="00685FBF"/>
    <w:rsid w:val="00686168"/>
    <w:rsid w:val="00686250"/>
    <w:rsid w:val="00687169"/>
    <w:rsid w:val="00687353"/>
    <w:rsid w:val="006878AD"/>
    <w:rsid w:val="00687CF5"/>
    <w:rsid w:val="00690E05"/>
    <w:rsid w:val="00690FB6"/>
    <w:rsid w:val="006917EE"/>
    <w:rsid w:val="00691ABA"/>
    <w:rsid w:val="00691B8B"/>
    <w:rsid w:val="006920F6"/>
    <w:rsid w:val="0069227E"/>
    <w:rsid w:val="006928ED"/>
    <w:rsid w:val="00692958"/>
    <w:rsid w:val="00692ADA"/>
    <w:rsid w:val="00693A1E"/>
    <w:rsid w:val="00693BEC"/>
    <w:rsid w:val="00693F02"/>
    <w:rsid w:val="0069407E"/>
    <w:rsid w:val="00694443"/>
    <w:rsid w:val="00694546"/>
    <w:rsid w:val="006945D6"/>
    <w:rsid w:val="006945DC"/>
    <w:rsid w:val="00694AA1"/>
    <w:rsid w:val="00694BD4"/>
    <w:rsid w:val="00694CD6"/>
    <w:rsid w:val="00695726"/>
    <w:rsid w:val="00695795"/>
    <w:rsid w:val="00695801"/>
    <w:rsid w:val="006958BE"/>
    <w:rsid w:val="00695D73"/>
    <w:rsid w:val="0069602F"/>
    <w:rsid w:val="006960FE"/>
    <w:rsid w:val="00696201"/>
    <w:rsid w:val="00696ABC"/>
    <w:rsid w:val="00696BDC"/>
    <w:rsid w:val="00696D08"/>
    <w:rsid w:val="00697739"/>
    <w:rsid w:val="00697AEF"/>
    <w:rsid w:val="006A06B7"/>
    <w:rsid w:val="006A06DB"/>
    <w:rsid w:val="006A0728"/>
    <w:rsid w:val="006A0826"/>
    <w:rsid w:val="006A0D2E"/>
    <w:rsid w:val="006A0D73"/>
    <w:rsid w:val="006A0DB6"/>
    <w:rsid w:val="006A108A"/>
    <w:rsid w:val="006A1BDA"/>
    <w:rsid w:val="006A1D75"/>
    <w:rsid w:val="006A1DF6"/>
    <w:rsid w:val="006A27F2"/>
    <w:rsid w:val="006A2F72"/>
    <w:rsid w:val="006A3063"/>
    <w:rsid w:val="006A3287"/>
    <w:rsid w:val="006A34E0"/>
    <w:rsid w:val="006A37B2"/>
    <w:rsid w:val="006A3D86"/>
    <w:rsid w:val="006A3E3C"/>
    <w:rsid w:val="006A3F2F"/>
    <w:rsid w:val="006A41A5"/>
    <w:rsid w:val="006A485A"/>
    <w:rsid w:val="006A4B93"/>
    <w:rsid w:val="006A574D"/>
    <w:rsid w:val="006A5819"/>
    <w:rsid w:val="006A591C"/>
    <w:rsid w:val="006A5A43"/>
    <w:rsid w:val="006A5B32"/>
    <w:rsid w:val="006A6671"/>
    <w:rsid w:val="006A6B5D"/>
    <w:rsid w:val="006A75CD"/>
    <w:rsid w:val="006A7877"/>
    <w:rsid w:val="006A795F"/>
    <w:rsid w:val="006A7E4D"/>
    <w:rsid w:val="006B0646"/>
    <w:rsid w:val="006B0948"/>
    <w:rsid w:val="006B1102"/>
    <w:rsid w:val="006B1471"/>
    <w:rsid w:val="006B1772"/>
    <w:rsid w:val="006B1B60"/>
    <w:rsid w:val="006B1F1D"/>
    <w:rsid w:val="006B2DFB"/>
    <w:rsid w:val="006B3365"/>
    <w:rsid w:val="006B34F4"/>
    <w:rsid w:val="006B35C7"/>
    <w:rsid w:val="006B365E"/>
    <w:rsid w:val="006B3A79"/>
    <w:rsid w:val="006B3C37"/>
    <w:rsid w:val="006B4EAA"/>
    <w:rsid w:val="006B4F1F"/>
    <w:rsid w:val="006B4F5A"/>
    <w:rsid w:val="006B5410"/>
    <w:rsid w:val="006B5C06"/>
    <w:rsid w:val="006B5FA9"/>
    <w:rsid w:val="006B62EF"/>
    <w:rsid w:val="006B638F"/>
    <w:rsid w:val="006B6EE3"/>
    <w:rsid w:val="006B7550"/>
    <w:rsid w:val="006B7A2F"/>
    <w:rsid w:val="006B7B8A"/>
    <w:rsid w:val="006B7F87"/>
    <w:rsid w:val="006C00B1"/>
    <w:rsid w:val="006C04BC"/>
    <w:rsid w:val="006C0C6A"/>
    <w:rsid w:val="006C0CD5"/>
    <w:rsid w:val="006C0E8A"/>
    <w:rsid w:val="006C1098"/>
    <w:rsid w:val="006C15EB"/>
    <w:rsid w:val="006C20D3"/>
    <w:rsid w:val="006C244B"/>
    <w:rsid w:val="006C2602"/>
    <w:rsid w:val="006C27F3"/>
    <w:rsid w:val="006C2CD8"/>
    <w:rsid w:val="006C31C0"/>
    <w:rsid w:val="006C35CA"/>
    <w:rsid w:val="006C3701"/>
    <w:rsid w:val="006C3939"/>
    <w:rsid w:val="006C3BD9"/>
    <w:rsid w:val="006C3C6E"/>
    <w:rsid w:val="006C4275"/>
    <w:rsid w:val="006C4A50"/>
    <w:rsid w:val="006C4DC0"/>
    <w:rsid w:val="006C52EF"/>
    <w:rsid w:val="006C5457"/>
    <w:rsid w:val="006C6267"/>
    <w:rsid w:val="006C6B55"/>
    <w:rsid w:val="006C6CC7"/>
    <w:rsid w:val="006C70A4"/>
    <w:rsid w:val="006C70EE"/>
    <w:rsid w:val="006C7141"/>
    <w:rsid w:val="006C71E0"/>
    <w:rsid w:val="006C7CCF"/>
    <w:rsid w:val="006D0F80"/>
    <w:rsid w:val="006D1681"/>
    <w:rsid w:val="006D1BD0"/>
    <w:rsid w:val="006D1CEB"/>
    <w:rsid w:val="006D1E52"/>
    <w:rsid w:val="006D243C"/>
    <w:rsid w:val="006D2541"/>
    <w:rsid w:val="006D3341"/>
    <w:rsid w:val="006D43BF"/>
    <w:rsid w:val="006D4B1D"/>
    <w:rsid w:val="006D550D"/>
    <w:rsid w:val="006D6167"/>
    <w:rsid w:val="006D6654"/>
    <w:rsid w:val="006D6A1B"/>
    <w:rsid w:val="006D72F4"/>
    <w:rsid w:val="006D7668"/>
    <w:rsid w:val="006D781C"/>
    <w:rsid w:val="006D7AF5"/>
    <w:rsid w:val="006D7DC5"/>
    <w:rsid w:val="006D7F8C"/>
    <w:rsid w:val="006E07A7"/>
    <w:rsid w:val="006E0E9D"/>
    <w:rsid w:val="006E1A3D"/>
    <w:rsid w:val="006E1C86"/>
    <w:rsid w:val="006E1D25"/>
    <w:rsid w:val="006E291D"/>
    <w:rsid w:val="006E2BA4"/>
    <w:rsid w:val="006E4126"/>
    <w:rsid w:val="006E4494"/>
    <w:rsid w:val="006E46DF"/>
    <w:rsid w:val="006E5789"/>
    <w:rsid w:val="006E63DE"/>
    <w:rsid w:val="006E6548"/>
    <w:rsid w:val="006E6639"/>
    <w:rsid w:val="006E6A21"/>
    <w:rsid w:val="006E6BEB"/>
    <w:rsid w:val="006E6E71"/>
    <w:rsid w:val="006E6FB4"/>
    <w:rsid w:val="006E709D"/>
    <w:rsid w:val="006E70D0"/>
    <w:rsid w:val="006E7177"/>
    <w:rsid w:val="006E729C"/>
    <w:rsid w:val="006E7368"/>
    <w:rsid w:val="006E75E9"/>
    <w:rsid w:val="006E7E18"/>
    <w:rsid w:val="006F0522"/>
    <w:rsid w:val="006F0739"/>
    <w:rsid w:val="006F0884"/>
    <w:rsid w:val="006F0E96"/>
    <w:rsid w:val="006F0EA6"/>
    <w:rsid w:val="006F155D"/>
    <w:rsid w:val="006F157B"/>
    <w:rsid w:val="006F21A3"/>
    <w:rsid w:val="006F2B2D"/>
    <w:rsid w:val="006F2C01"/>
    <w:rsid w:val="006F35AE"/>
    <w:rsid w:val="006F36D2"/>
    <w:rsid w:val="006F4108"/>
    <w:rsid w:val="006F48E7"/>
    <w:rsid w:val="006F5611"/>
    <w:rsid w:val="006F58B0"/>
    <w:rsid w:val="006F5D31"/>
    <w:rsid w:val="006F5D54"/>
    <w:rsid w:val="006F7583"/>
    <w:rsid w:val="006F7C65"/>
    <w:rsid w:val="006F7D5F"/>
    <w:rsid w:val="00700498"/>
    <w:rsid w:val="00700666"/>
    <w:rsid w:val="0070088E"/>
    <w:rsid w:val="00701233"/>
    <w:rsid w:val="00701511"/>
    <w:rsid w:val="0070191B"/>
    <w:rsid w:val="00702DAB"/>
    <w:rsid w:val="007030D5"/>
    <w:rsid w:val="007032A9"/>
    <w:rsid w:val="007033A6"/>
    <w:rsid w:val="007033B1"/>
    <w:rsid w:val="00703ED9"/>
    <w:rsid w:val="00703F45"/>
    <w:rsid w:val="00704AA9"/>
    <w:rsid w:val="00704D79"/>
    <w:rsid w:val="00705143"/>
    <w:rsid w:val="007052BD"/>
    <w:rsid w:val="00705D72"/>
    <w:rsid w:val="00706491"/>
    <w:rsid w:val="007067A0"/>
    <w:rsid w:val="0070688A"/>
    <w:rsid w:val="00706A69"/>
    <w:rsid w:val="00706C0F"/>
    <w:rsid w:val="00706EEB"/>
    <w:rsid w:val="00706F7D"/>
    <w:rsid w:val="00707134"/>
    <w:rsid w:val="0070714E"/>
    <w:rsid w:val="00707258"/>
    <w:rsid w:val="00707273"/>
    <w:rsid w:val="00707DC3"/>
    <w:rsid w:val="00710322"/>
    <w:rsid w:val="007105A7"/>
    <w:rsid w:val="007107B4"/>
    <w:rsid w:val="00710DE4"/>
    <w:rsid w:val="00710F68"/>
    <w:rsid w:val="00710FF4"/>
    <w:rsid w:val="007116CE"/>
    <w:rsid w:val="00712223"/>
    <w:rsid w:val="007125BC"/>
    <w:rsid w:val="007126DB"/>
    <w:rsid w:val="007130FC"/>
    <w:rsid w:val="0071322B"/>
    <w:rsid w:val="00713976"/>
    <w:rsid w:val="00713C5C"/>
    <w:rsid w:val="00713D48"/>
    <w:rsid w:val="0071400F"/>
    <w:rsid w:val="0071431C"/>
    <w:rsid w:val="0071438F"/>
    <w:rsid w:val="007148A5"/>
    <w:rsid w:val="00714FBD"/>
    <w:rsid w:val="00715E55"/>
    <w:rsid w:val="007169C6"/>
    <w:rsid w:val="007169F7"/>
    <w:rsid w:val="00717370"/>
    <w:rsid w:val="0072072F"/>
    <w:rsid w:val="00720892"/>
    <w:rsid w:val="00720F3C"/>
    <w:rsid w:val="00721152"/>
    <w:rsid w:val="0072135F"/>
    <w:rsid w:val="0072137E"/>
    <w:rsid w:val="0072150B"/>
    <w:rsid w:val="007218B3"/>
    <w:rsid w:val="00721D38"/>
    <w:rsid w:val="00721DA5"/>
    <w:rsid w:val="00722607"/>
    <w:rsid w:val="00722B23"/>
    <w:rsid w:val="00722FD8"/>
    <w:rsid w:val="00723084"/>
    <w:rsid w:val="007235F8"/>
    <w:rsid w:val="00723849"/>
    <w:rsid w:val="00723B16"/>
    <w:rsid w:val="00723B26"/>
    <w:rsid w:val="00723F8C"/>
    <w:rsid w:val="007246E5"/>
    <w:rsid w:val="0072535C"/>
    <w:rsid w:val="00725A27"/>
    <w:rsid w:val="00725BB4"/>
    <w:rsid w:val="00725FC6"/>
    <w:rsid w:val="00726402"/>
    <w:rsid w:val="0072670B"/>
    <w:rsid w:val="0072672E"/>
    <w:rsid w:val="00726953"/>
    <w:rsid w:val="00726F97"/>
    <w:rsid w:val="007274BC"/>
    <w:rsid w:val="00727743"/>
    <w:rsid w:val="00727B84"/>
    <w:rsid w:val="00727F09"/>
    <w:rsid w:val="00730107"/>
    <w:rsid w:val="007303E8"/>
    <w:rsid w:val="0073068D"/>
    <w:rsid w:val="00730FCC"/>
    <w:rsid w:val="00731041"/>
    <w:rsid w:val="00731978"/>
    <w:rsid w:val="00732819"/>
    <w:rsid w:val="00732A9D"/>
    <w:rsid w:val="00733076"/>
    <w:rsid w:val="007331FA"/>
    <w:rsid w:val="00733F72"/>
    <w:rsid w:val="0073435D"/>
    <w:rsid w:val="007347B9"/>
    <w:rsid w:val="0073491C"/>
    <w:rsid w:val="00734EFF"/>
    <w:rsid w:val="007354FD"/>
    <w:rsid w:val="00735DA0"/>
    <w:rsid w:val="00735E64"/>
    <w:rsid w:val="007365EB"/>
    <w:rsid w:val="00736792"/>
    <w:rsid w:val="00736829"/>
    <w:rsid w:val="00736EFE"/>
    <w:rsid w:val="00737199"/>
    <w:rsid w:val="00737567"/>
    <w:rsid w:val="00737FD8"/>
    <w:rsid w:val="0074008A"/>
    <w:rsid w:val="0074008B"/>
    <w:rsid w:val="00740C8D"/>
    <w:rsid w:val="00740F8A"/>
    <w:rsid w:val="00741066"/>
    <w:rsid w:val="0074160C"/>
    <w:rsid w:val="007422FE"/>
    <w:rsid w:val="00742383"/>
    <w:rsid w:val="00742E7E"/>
    <w:rsid w:val="007439BC"/>
    <w:rsid w:val="00743A8D"/>
    <w:rsid w:val="0074409F"/>
    <w:rsid w:val="00744716"/>
    <w:rsid w:val="00744953"/>
    <w:rsid w:val="00744C63"/>
    <w:rsid w:val="00744DC7"/>
    <w:rsid w:val="007453A8"/>
    <w:rsid w:val="007455E6"/>
    <w:rsid w:val="00745949"/>
    <w:rsid w:val="00745FF6"/>
    <w:rsid w:val="00746A50"/>
    <w:rsid w:val="0074714B"/>
    <w:rsid w:val="00747272"/>
    <w:rsid w:val="00747C88"/>
    <w:rsid w:val="00747EA9"/>
    <w:rsid w:val="0075000E"/>
    <w:rsid w:val="007500E9"/>
    <w:rsid w:val="00751593"/>
    <w:rsid w:val="00751B36"/>
    <w:rsid w:val="00751D66"/>
    <w:rsid w:val="00751E18"/>
    <w:rsid w:val="00752A28"/>
    <w:rsid w:val="00752C47"/>
    <w:rsid w:val="00753749"/>
    <w:rsid w:val="007538D0"/>
    <w:rsid w:val="00753BA8"/>
    <w:rsid w:val="00753BBF"/>
    <w:rsid w:val="00753F38"/>
    <w:rsid w:val="00754054"/>
    <w:rsid w:val="007545D9"/>
    <w:rsid w:val="0075486D"/>
    <w:rsid w:val="0075488F"/>
    <w:rsid w:val="00754D2B"/>
    <w:rsid w:val="00754D95"/>
    <w:rsid w:val="00754E7E"/>
    <w:rsid w:val="00755326"/>
    <w:rsid w:val="007553A9"/>
    <w:rsid w:val="0075557B"/>
    <w:rsid w:val="007557CE"/>
    <w:rsid w:val="00755908"/>
    <w:rsid w:val="007559CC"/>
    <w:rsid w:val="00755ACF"/>
    <w:rsid w:val="00755FFE"/>
    <w:rsid w:val="00756392"/>
    <w:rsid w:val="007569F6"/>
    <w:rsid w:val="00756EDB"/>
    <w:rsid w:val="00757451"/>
    <w:rsid w:val="00757817"/>
    <w:rsid w:val="00757883"/>
    <w:rsid w:val="00757B73"/>
    <w:rsid w:val="007604C8"/>
    <w:rsid w:val="007604F0"/>
    <w:rsid w:val="0076121A"/>
    <w:rsid w:val="0076148F"/>
    <w:rsid w:val="00761B5E"/>
    <w:rsid w:val="00762353"/>
    <w:rsid w:val="00762AED"/>
    <w:rsid w:val="007632F9"/>
    <w:rsid w:val="00763765"/>
    <w:rsid w:val="007638FB"/>
    <w:rsid w:val="0076395C"/>
    <w:rsid w:val="00763DA7"/>
    <w:rsid w:val="00764028"/>
    <w:rsid w:val="00764587"/>
    <w:rsid w:val="00764A0A"/>
    <w:rsid w:val="00764B75"/>
    <w:rsid w:val="00764ED2"/>
    <w:rsid w:val="0076531A"/>
    <w:rsid w:val="00765D64"/>
    <w:rsid w:val="0076620F"/>
    <w:rsid w:val="00766D5E"/>
    <w:rsid w:val="00766DE2"/>
    <w:rsid w:val="00766DF4"/>
    <w:rsid w:val="00766EC1"/>
    <w:rsid w:val="0076778B"/>
    <w:rsid w:val="00767C9D"/>
    <w:rsid w:val="00767F6A"/>
    <w:rsid w:val="00767F81"/>
    <w:rsid w:val="0077005A"/>
    <w:rsid w:val="007705A6"/>
    <w:rsid w:val="0077107D"/>
    <w:rsid w:val="0077193C"/>
    <w:rsid w:val="00771DB0"/>
    <w:rsid w:val="0077226B"/>
    <w:rsid w:val="007729D3"/>
    <w:rsid w:val="00772A5A"/>
    <w:rsid w:val="007733EC"/>
    <w:rsid w:val="00774FB3"/>
    <w:rsid w:val="0077535B"/>
    <w:rsid w:val="00775717"/>
    <w:rsid w:val="007764B7"/>
    <w:rsid w:val="007766E1"/>
    <w:rsid w:val="007768F5"/>
    <w:rsid w:val="0077698F"/>
    <w:rsid w:val="00776A8A"/>
    <w:rsid w:val="00776E3A"/>
    <w:rsid w:val="0077707C"/>
    <w:rsid w:val="00777B50"/>
    <w:rsid w:val="0078003E"/>
    <w:rsid w:val="0078089D"/>
    <w:rsid w:val="00780B67"/>
    <w:rsid w:val="007812E2"/>
    <w:rsid w:val="007813FB"/>
    <w:rsid w:val="00781BA4"/>
    <w:rsid w:val="00781D70"/>
    <w:rsid w:val="00781DEF"/>
    <w:rsid w:val="00781E82"/>
    <w:rsid w:val="0078206E"/>
    <w:rsid w:val="007823C7"/>
    <w:rsid w:val="00782C9C"/>
    <w:rsid w:val="007831AB"/>
    <w:rsid w:val="0078324D"/>
    <w:rsid w:val="00783424"/>
    <w:rsid w:val="007834AF"/>
    <w:rsid w:val="007834DB"/>
    <w:rsid w:val="0078386F"/>
    <w:rsid w:val="0078404E"/>
    <w:rsid w:val="0078425C"/>
    <w:rsid w:val="007843BC"/>
    <w:rsid w:val="0078449F"/>
    <w:rsid w:val="007846F5"/>
    <w:rsid w:val="00784A5E"/>
    <w:rsid w:val="00784D87"/>
    <w:rsid w:val="0078500D"/>
    <w:rsid w:val="007855B8"/>
    <w:rsid w:val="00785654"/>
    <w:rsid w:val="007857AD"/>
    <w:rsid w:val="00785DFD"/>
    <w:rsid w:val="007869A9"/>
    <w:rsid w:val="00786CAA"/>
    <w:rsid w:val="00787014"/>
    <w:rsid w:val="0078710C"/>
    <w:rsid w:val="007871EF"/>
    <w:rsid w:val="0078735A"/>
    <w:rsid w:val="00787579"/>
    <w:rsid w:val="0078792B"/>
    <w:rsid w:val="00787957"/>
    <w:rsid w:val="00787981"/>
    <w:rsid w:val="00787DDC"/>
    <w:rsid w:val="00787E7F"/>
    <w:rsid w:val="00787F56"/>
    <w:rsid w:val="0079073F"/>
    <w:rsid w:val="0079095C"/>
    <w:rsid w:val="007909C5"/>
    <w:rsid w:val="00791579"/>
    <w:rsid w:val="007919BD"/>
    <w:rsid w:val="00791BC6"/>
    <w:rsid w:val="00791E1A"/>
    <w:rsid w:val="00791E1D"/>
    <w:rsid w:val="00791ED8"/>
    <w:rsid w:val="00791F4E"/>
    <w:rsid w:val="007922D7"/>
    <w:rsid w:val="00792508"/>
    <w:rsid w:val="007926F9"/>
    <w:rsid w:val="00792A35"/>
    <w:rsid w:val="0079345C"/>
    <w:rsid w:val="00793944"/>
    <w:rsid w:val="00793F93"/>
    <w:rsid w:val="00794389"/>
    <w:rsid w:val="00794F90"/>
    <w:rsid w:val="00794F98"/>
    <w:rsid w:val="007950E3"/>
    <w:rsid w:val="00795110"/>
    <w:rsid w:val="00795168"/>
    <w:rsid w:val="007952F2"/>
    <w:rsid w:val="00795C4D"/>
    <w:rsid w:val="00795D55"/>
    <w:rsid w:val="00796157"/>
    <w:rsid w:val="00796342"/>
    <w:rsid w:val="007964B1"/>
    <w:rsid w:val="00796B44"/>
    <w:rsid w:val="007A0040"/>
    <w:rsid w:val="007A00A6"/>
    <w:rsid w:val="007A0B76"/>
    <w:rsid w:val="007A0F2B"/>
    <w:rsid w:val="007A15B3"/>
    <w:rsid w:val="007A1918"/>
    <w:rsid w:val="007A1EB1"/>
    <w:rsid w:val="007A247D"/>
    <w:rsid w:val="007A250C"/>
    <w:rsid w:val="007A2FE5"/>
    <w:rsid w:val="007A315C"/>
    <w:rsid w:val="007A35BF"/>
    <w:rsid w:val="007A3B71"/>
    <w:rsid w:val="007A45C0"/>
    <w:rsid w:val="007A4C5A"/>
    <w:rsid w:val="007A4EE9"/>
    <w:rsid w:val="007A4FA4"/>
    <w:rsid w:val="007A530D"/>
    <w:rsid w:val="007A536B"/>
    <w:rsid w:val="007A590F"/>
    <w:rsid w:val="007A5FE2"/>
    <w:rsid w:val="007A622B"/>
    <w:rsid w:val="007A6312"/>
    <w:rsid w:val="007A63F6"/>
    <w:rsid w:val="007A6506"/>
    <w:rsid w:val="007A652F"/>
    <w:rsid w:val="007A6D8B"/>
    <w:rsid w:val="007A716B"/>
    <w:rsid w:val="007A76DF"/>
    <w:rsid w:val="007A76FE"/>
    <w:rsid w:val="007A7DB4"/>
    <w:rsid w:val="007A7F6B"/>
    <w:rsid w:val="007B01BF"/>
    <w:rsid w:val="007B0330"/>
    <w:rsid w:val="007B046A"/>
    <w:rsid w:val="007B061B"/>
    <w:rsid w:val="007B0A9F"/>
    <w:rsid w:val="007B0CAE"/>
    <w:rsid w:val="007B0EC4"/>
    <w:rsid w:val="007B1858"/>
    <w:rsid w:val="007B18F8"/>
    <w:rsid w:val="007B1AD4"/>
    <w:rsid w:val="007B1DBB"/>
    <w:rsid w:val="007B1DCE"/>
    <w:rsid w:val="007B24CE"/>
    <w:rsid w:val="007B279A"/>
    <w:rsid w:val="007B30D4"/>
    <w:rsid w:val="007B3825"/>
    <w:rsid w:val="007B3C6C"/>
    <w:rsid w:val="007B47CB"/>
    <w:rsid w:val="007B47EA"/>
    <w:rsid w:val="007B4D1B"/>
    <w:rsid w:val="007B4DC9"/>
    <w:rsid w:val="007B539D"/>
    <w:rsid w:val="007B53F6"/>
    <w:rsid w:val="007B55FC"/>
    <w:rsid w:val="007B5810"/>
    <w:rsid w:val="007B585E"/>
    <w:rsid w:val="007B59F0"/>
    <w:rsid w:val="007B59F4"/>
    <w:rsid w:val="007B5A34"/>
    <w:rsid w:val="007B5B09"/>
    <w:rsid w:val="007B6AF9"/>
    <w:rsid w:val="007B6FD7"/>
    <w:rsid w:val="007C02E6"/>
    <w:rsid w:val="007C0334"/>
    <w:rsid w:val="007C07B8"/>
    <w:rsid w:val="007C0851"/>
    <w:rsid w:val="007C12D2"/>
    <w:rsid w:val="007C133F"/>
    <w:rsid w:val="007C1C82"/>
    <w:rsid w:val="007C1F9B"/>
    <w:rsid w:val="007C216F"/>
    <w:rsid w:val="007C2E5C"/>
    <w:rsid w:val="007C31D0"/>
    <w:rsid w:val="007C323E"/>
    <w:rsid w:val="007C3667"/>
    <w:rsid w:val="007C3950"/>
    <w:rsid w:val="007C406C"/>
    <w:rsid w:val="007C4079"/>
    <w:rsid w:val="007C42CB"/>
    <w:rsid w:val="007C450F"/>
    <w:rsid w:val="007C469C"/>
    <w:rsid w:val="007C4758"/>
    <w:rsid w:val="007C4A5C"/>
    <w:rsid w:val="007C4C59"/>
    <w:rsid w:val="007C4FC3"/>
    <w:rsid w:val="007C542A"/>
    <w:rsid w:val="007C54BF"/>
    <w:rsid w:val="007C58B6"/>
    <w:rsid w:val="007C5DE0"/>
    <w:rsid w:val="007C6AC0"/>
    <w:rsid w:val="007C752B"/>
    <w:rsid w:val="007C7AFD"/>
    <w:rsid w:val="007D026B"/>
    <w:rsid w:val="007D05B9"/>
    <w:rsid w:val="007D0D52"/>
    <w:rsid w:val="007D12CD"/>
    <w:rsid w:val="007D13DC"/>
    <w:rsid w:val="007D13EB"/>
    <w:rsid w:val="007D2099"/>
    <w:rsid w:val="007D2177"/>
    <w:rsid w:val="007D230D"/>
    <w:rsid w:val="007D2935"/>
    <w:rsid w:val="007D2B5D"/>
    <w:rsid w:val="007D2F16"/>
    <w:rsid w:val="007D37FF"/>
    <w:rsid w:val="007D42C2"/>
    <w:rsid w:val="007D5A12"/>
    <w:rsid w:val="007D600F"/>
    <w:rsid w:val="007D6550"/>
    <w:rsid w:val="007D6946"/>
    <w:rsid w:val="007D6BC7"/>
    <w:rsid w:val="007D70A1"/>
    <w:rsid w:val="007D76C7"/>
    <w:rsid w:val="007D7AD5"/>
    <w:rsid w:val="007D7CEF"/>
    <w:rsid w:val="007E0504"/>
    <w:rsid w:val="007E0D7A"/>
    <w:rsid w:val="007E1076"/>
    <w:rsid w:val="007E1452"/>
    <w:rsid w:val="007E1AB6"/>
    <w:rsid w:val="007E202A"/>
    <w:rsid w:val="007E20FE"/>
    <w:rsid w:val="007E2FE1"/>
    <w:rsid w:val="007E36D1"/>
    <w:rsid w:val="007E4057"/>
    <w:rsid w:val="007E42B9"/>
    <w:rsid w:val="007E49E4"/>
    <w:rsid w:val="007E4AA1"/>
    <w:rsid w:val="007E516A"/>
    <w:rsid w:val="007E566A"/>
    <w:rsid w:val="007E570A"/>
    <w:rsid w:val="007E679E"/>
    <w:rsid w:val="007E695E"/>
    <w:rsid w:val="007E6AC5"/>
    <w:rsid w:val="007E745F"/>
    <w:rsid w:val="007E78C0"/>
    <w:rsid w:val="007E7B63"/>
    <w:rsid w:val="007F0053"/>
    <w:rsid w:val="007F00B3"/>
    <w:rsid w:val="007F087D"/>
    <w:rsid w:val="007F0A77"/>
    <w:rsid w:val="007F0C6C"/>
    <w:rsid w:val="007F0CA0"/>
    <w:rsid w:val="007F0DD0"/>
    <w:rsid w:val="007F1783"/>
    <w:rsid w:val="007F1D70"/>
    <w:rsid w:val="007F1FD5"/>
    <w:rsid w:val="007F28A0"/>
    <w:rsid w:val="007F2BF1"/>
    <w:rsid w:val="007F32F0"/>
    <w:rsid w:val="007F36A2"/>
    <w:rsid w:val="007F36EA"/>
    <w:rsid w:val="007F37C6"/>
    <w:rsid w:val="007F3B17"/>
    <w:rsid w:val="007F5171"/>
    <w:rsid w:val="007F5192"/>
    <w:rsid w:val="007F5309"/>
    <w:rsid w:val="007F5DEE"/>
    <w:rsid w:val="007F5F4D"/>
    <w:rsid w:val="007F6027"/>
    <w:rsid w:val="007F602B"/>
    <w:rsid w:val="007F6223"/>
    <w:rsid w:val="007F64A1"/>
    <w:rsid w:val="007F6520"/>
    <w:rsid w:val="007F652D"/>
    <w:rsid w:val="007F6675"/>
    <w:rsid w:val="007F6EE5"/>
    <w:rsid w:val="007F7115"/>
    <w:rsid w:val="007F7C86"/>
    <w:rsid w:val="007F7FB6"/>
    <w:rsid w:val="008001B8"/>
    <w:rsid w:val="00800F42"/>
    <w:rsid w:val="00801863"/>
    <w:rsid w:val="00801F8E"/>
    <w:rsid w:val="00801F9C"/>
    <w:rsid w:val="00801FF1"/>
    <w:rsid w:val="0080225F"/>
    <w:rsid w:val="00802715"/>
    <w:rsid w:val="008029B4"/>
    <w:rsid w:val="00802D7C"/>
    <w:rsid w:val="00802F31"/>
    <w:rsid w:val="008030BA"/>
    <w:rsid w:val="008035E6"/>
    <w:rsid w:val="00803F17"/>
    <w:rsid w:val="008041C4"/>
    <w:rsid w:val="0080451B"/>
    <w:rsid w:val="00805233"/>
    <w:rsid w:val="00805420"/>
    <w:rsid w:val="008054D4"/>
    <w:rsid w:val="008057D1"/>
    <w:rsid w:val="008057FE"/>
    <w:rsid w:val="008058C6"/>
    <w:rsid w:val="00805C93"/>
    <w:rsid w:val="00805E33"/>
    <w:rsid w:val="0080644D"/>
    <w:rsid w:val="00806E2D"/>
    <w:rsid w:val="0080734E"/>
    <w:rsid w:val="008077FB"/>
    <w:rsid w:val="0080796A"/>
    <w:rsid w:val="00807B55"/>
    <w:rsid w:val="00807F73"/>
    <w:rsid w:val="008109FA"/>
    <w:rsid w:val="00810B4F"/>
    <w:rsid w:val="00810BA3"/>
    <w:rsid w:val="00810F51"/>
    <w:rsid w:val="00811DAA"/>
    <w:rsid w:val="00811EDE"/>
    <w:rsid w:val="00811FCD"/>
    <w:rsid w:val="0081227B"/>
    <w:rsid w:val="008127DF"/>
    <w:rsid w:val="00813020"/>
    <w:rsid w:val="008142CD"/>
    <w:rsid w:val="00814856"/>
    <w:rsid w:val="00814898"/>
    <w:rsid w:val="00814CC9"/>
    <w:rsid w:val="00814D69"/>
    <w:rsid w:val="00814D86"/>
    <w:rsid w:val="0081522D"/>
    <w:rsid w:val="00815352"/>
    <w:rsid w:val="00816042"/>
    <w:rsid w:val="0081648E"/>
    <w:rsid w:val="008179D2"/>
    <w:rsid w:val="00817A62"/>
    <w:rsid w:val="008204E9"/>
    <w:rsid w:val="00820AFB"/>
    <w:rsid w:val="00820E34"/>
    <w:rsid w:val="00820EBC"/>
    <w:rsid w:val="0082126C"/>
    <w:rsid w:val="0082135C"/>
    <w:rsid w:val="00821740"/>
    <w:rsid w:val="00821B45"/>
    <w:rsid w:val="00821B85"/>
    <w:rsid w:val="008227D9"/>
    <w:rsid w:val="00822AAF"/>
    <w:rsid w:val="00822F52"/>
    <w:rsid w:val="0082317E"/>
    <w:rsid w:val="0082323B"/>
    <w:rsid w:val="008234D7"/>
    <w:rsid w:val="008235E3"/>
    <w:rsid w:val="00823C20"/>
    <w:rsid w:val="00823D26"/>
    <w:rsid w:val="00824315"/>
    <w:rsid w:val="008247C0"/>
    <w:rsid w:val="00824B06"/>
    <w:rsid w:val="00824E51"/>
    <w:rsid w:val="00824F37"/>
    <w:rsid w:val="008253A9"/>
    <w:rsid w:val="008256C8"/>
    <w:rsid w:val="008258FF"/>
    <w:rsid w:val="00826634"/>
    <w:rsid w:val="008267A2"/>
    <w:rsid w:val="00826C89"/>
    <w:rsid w:val="0082704C"/>
    <w:rsid w:val="008273AA"/>
    <w:rsid w:val="00827501"/>
    <w:rsid w:val="008277E0"/>
    <w:rsid w:val="00827EB0"/>
    <w:rsid w:val="008301C6"/>
    <w:rsid w:val="008301DC"/>
    <w:rsid w:val="0083023A"/>
    <w:rsid w:val="008304DA"/>
    <w:rsid w:val="008305AC"/>
    <w:rsid w:val="00830832"/>
    <w:rsid w:val="008309AC"/>
    <w:rsid w:val="00830B81"/>
    <w:rsid w:val="00830D03"/>
    <w:rsid w:val="008317D5"/>
    <w:rsid w:val="008319AF"/>
    <w:rsid w:val="00831F25"/>
    <w:rsid w:val="008323FC"/>
    <w:rsid w:val="008325DC"/>
    <w:rsid w:val="0083280D"/>
    <w:rsid w:val="00832B8F"/>
    <w:rsid w:val="00832F4B"/>
    <w:rsid w:val="0083460C"/>
    <w:rsid w:val="00834E9C"/>
    <w:rsid w:val="0083522A"/>
    <w:rsid w:val="008359D9"/>
    <w:rsid w:val="00835CA4"/>
    <w:rsid w:val="00835F74"/>
    <w:rsid w:val="00835FA9"/>
    <w:rsid w:val="00835FFC"/>
    <w:rsid w:val="008360C6"/>
    <w:rsid w:val="008368DE"/>
    <w:rsid w:val="0083699A"/>
    <w:rsid w:val="00836DCF"/>
    <w:rsid w:val="00836ECA"/>
    <w:rsid w:val="0083703C"/>
    <w:rsid w:val="00837046"/>
    <w:rsid w:val="0083734A"/>
    <w:rsid w:val="008375B2"/>
    <w:rsid w:val="008377A8"/>
    <w:rsid w:val="00837B9B"/>
    <w:rsid w:val="00837E5F"/>
    <w:rsid w:val="00837EAE"/>
    <w:rsid w:val="00840406"/>
    <w:rsid w:val="00840A43"/>
    <w:rsid w:val="008413F5"/>
    <w:rsid w:val="00841446"/>
    <w:rsid w:val="008414CB"/>
    <w:rsid w:val="008415A0"/>
    <w:rsid w:val="008429F6"/>
    <w:rsid w:val="00842E8B"/>
    <w:rsid w:val="008432D6"/>
    <w:rsid w:val="00843857"/>
    <w:rsid w:val="00843910"/>
    <w:rsid w:val="00843920"/>
    <w:rsid w:val="00843A48"/>
    <w:rsid w:val="00844A04"/>
    <w:rsid w:val="00845481"/>
    <w:rsid w:val="0084562B"/>
    <w:rsid w:val="00845676"/>
    <w:rsid w:val="00845856"/>
    <w:rsid w:val="0084585B"/>
    <w:rsid w:val="00845968"/>
    <w:rsid w:val="008469CF"/>
    <w:rsid w:val="00846C4F"/>
    <w:rsid w:val="0084746A"/>
    <w:rsid w:val="008477B2"/>
    <w:rsid w:val="00847945"/>
    <w:rsid w:val="00847C3C"/>
    <w:rsid w:val="00847F47"/>
    <w:rsid w:val="008507A6"/>
    <w:rsid w:val="00850B7A"/>
    <w:rsid w:val="00851EEB"/>
    <w:rsid w:val="00852144"/>
    <w:rsid w:val="00852660"/>
    <w:rsid w:val="008527EF"/>
    <w:rsid w:val="00852836"/>
    <w:rsid w:val="00852897"/>
    <w:rsid w:val="008530DE"/>
    <w:rsid w:val="008534EF"/>
    <w:rsid w:val="00853E22"/>
    <w:rsid w:val="00853EA6"/>
    <w:rsid w:val="00853EF4"/>
    <w:rsid w:val="00854253"/>
    <w:rsid w:val="00854608"/>
    <w:rsid w:val="00854771"/>
    <w:rsid w:val="008547A5"/>
    <w:rsid w:val="008548F9"/>
    <w:rsid w:val="00854E5D"/>
    <w:rsid w:val="0085544E"/>
    <w:rsid w:val="0085574B"/>
    <w:rsid w:val="00856094"/>
    <w:rsid w:val="00856466"/>
    <w:rsid w:val="008564D6"/>
    <w:rsid w:val="00856CD0"/>
    <w:rsid w:val="00856D30"/>
    <w:rsid w:val="00857401"/>
    <w:rsid w:val="0086018A"/>
    <w:rsid w:val="00860562"/>
    <w:rsid w:val="0086092B"/>
    <w:rsid w:val="00860EE4"/>
    <w:rsid w:val="00860F5C"/>
    <w:rsid w:val="008611A9"/>
    <w:rsid w:val="00861251"/>
    <w:rsid w:val="0086131F"/>
    <w:rsid w:val="008614D1"/>
    <w:rsid w:val="00861AD1"/>
    <w:rsid w:val="00861EDA"/>
    <w:rsid w:val="0086271F"/>
    <w:rsid w:val="0086310D"/>
    <w:rsid w:val="008632DE"/>
    <w:rsid w:val="008633E4"/>
    <w:rsid w:val="008634EE"/>
    <w:rsid w:val="00863630"/>
    <w:rsid w:val="00863D03"/>
    <w:rsid w:val="008643C6"/>
    <w:rsid w:val="00864E99"/>
    <w:rsid w:val="008657C7"/>
    <w:rsid w:val="008667C1"/>
    <w:rsid w:val="00866B76"/>
    <w:rsid w:val="00866D7A"/>
    <w:rsid w:val="00866EEA"/>
    <w:rsid w:val="008674C2"/>
    <w:rsid w:val="00867628"/>
    <w:rsid w:val="0086762F"/>
    <w:rsid w:val="008679BA"/>
    <w:rsid w:val="00867D93"/>
    <w:rsid w:val="00867DEC"/>
    <w:rsid w:val="00870222"/>
    <w:rsid w:val="00870460"/>
    <w:rsid w:val="008705C9"/>
    <w:rsid w:val="00870C84"/>
    <w:rsid w:val="00870EB6"/>
    <w:rsid w:val="00872284"/>
    <w:rsid w:val="0087263E"/>
    <w:rsid w:val="0087278D"/>
    <w:rsid w:val="00872B04"/>
    <w:rsid w:val="00872B50"/>
    <w:rsid w:val="0087338A"/>
    <w:rsid w:val="0087372F"/>
    <w:rsid w:val="00874129"/>
    <w:rsid w:val="008742FC"/>
    <w:rsid w:val="008744D3"/>
    <w:rsid w:val="008751D6"/>
    <w:rsid w:val="00875C09"/>
    <w:rsid w:val="00875C12"/>
    <w:rsid w:val="00875F81"/>
    <w:rsid w:val="00876330"/>
    <w:rsid w:val="00877070"/>
    <w:rsid w:val="008773CB"/>
    <w:rsid w:val="00877B92"/>
    <w:rsid w:val="00877C53"/>
    <w:rsid w:val="0088015D"/>
    <w:rsid w:val="008807C1"/>
    <w:rsid w:val="008808FD"/>
    <w:rsid w:val="0088098F"/>
    <w:rsid w:val="00880F66"/>
    <w:rsid w:val="00881472"/>
    <w:rsid w:val="0088163B"/>
    <w:rsid w:val="00881ED9"/>
    <w:rsid w:val="00881F31"/>
    <w:rsid w:val="00882312"/>
    <w:rsid w:val="00882BB1"/>
    <w:rsid w:val="008835ED"/>
    <w:rsid w:val="008835EE"/>
    <w:rsid w:val="008839CD"/>
    <w:rsid w:val="008840F9"/>
    <w:rsid w:val="008844AA"/>
    <w:rsid w:val="00884840"/>
    <w:rsid w:val="00884B8D"/>
    <w:rsid w:val="00884FCA"/>
    <w:rsid w:val="0088520E"/>
    <w:rsid w:val="0088545C"/>
    <w:rsid w:val="00885D45"/>
    <w:rsid w:val="00885DD3"/>
    <w:rsid w:val="00885FE4"/>
    <w:rsid w:val="00886595"/>
    <w:rsid w:val="0088668F"/>
    <w:rsid w:val="008867CC"/>
    <w:rsid w:val="008871C3"/>
    <w:rsid w:val="00887981"/>
    <w:rsid w:val="008900E3"/>
    <w:rsid w:val="00890ECE"/>
    <w:rsid w:val="00891084"/>
    <w:rsid w:val="00891729"/>
    <w:rsid w:val="0089184A"/>
    <w:rsid w:val="00891A07"/>
    <w:rsid w:val="00891BB9"/>
    <w:rsid w:val="00891E06"/>
    <w:rsid w:val="00892078"/>
    <w:rsid w:val="00892584"/>
    <w:rsid w:val="008925DD"/>
    <w:rsid w:val="008927F9"/>
    <w:rsid w:val="00892B8E"/>
    <w:rsid w:val="00892BA6"/>
    <w:rsid w:val="00893615"/>
    <w:rsid w:val="00893642"/>
    <w:rsid w:val="00893873"/>
    <w:rsid w:val="0089396C"/>
    <w:rsid w:val="00893CB8"/>
    <w:rsid w:val="008943FD"/>
    <w:rsid w:val="008944D2"/>
    <w:rsid w:val="00894DA3"/>
    <w:rsid w:val="008952EE"/>
    <w:rsid w:val="008955A4"/>
    <w:rsid w:val="00895917"/>
    <w:rsid w:val="00895BDD"/>
    <w:rsid w:val="00895D37"/>
    <w:rsid w:val="00895E09"/>
    <w:rsid w:val="0089719A"/>
    <w:rsid w:val="00897240"/>
    <w:rsid w:val="00897423"/>
    <w:rsid w:val="0089743F"/>
    <w:rsid w:val="0089747E"/>
    <w:rsid w:val="008975A2"/>
    <w:rsid w:val="008976F5"/>
    <w:rsid w:val="00897C6D"/>
    <w:rsid w:val="008A0688"/>
    <w:rsid w:val="008A0F07"/>
    <w:rsid w:val="008A118A"/>
    <w:rsid w:val="008A12E6"/>
    <w:rsid w:val="008A147D"/>
    <w:rsid w:val="008A1542"/>
    <w:rsid w:val="008A176B"/>
    <w:rsid w:val="008A19AC"/>
    <w:rsid w:val="008A1A73"/>
    <w:rsid w:val="008A1FF7"/>
    <w:rsid w:val="008A241B"/>
    <w:rsid w:val="008A24A9"/>
    <w:rsid w:val="008A26F3"/>
    <w:rsid w:val="008A2B32"/>
    <w:rsid w:val="008A2EBA"/>
    <w:rsid w:val="008A3299"/>
    <w:rsid w:val="008A387D"/>
    <w:rsid w:val="008A38C5"/>
    <w:rsid w:val="008A3BB2"/>
    <w:rsid w:val="008A3C19"/>
    <w:rsid w:val="008A43B0"/>
    <w:rsid w:val="008A463D"/>
    <w:rsid w:val="008A4F47"/>
    <w:rsid w:val="008A5024"/>
    <w:rsid w:val="008A50AE"/>
    <w:rsid w:val="008A51EB"/>
    <w:rsid w:val="008A5C88"/>
    <w:rsid w:val="008A5FFB"/>
    <w:rsid w:val="008A63A5"/>
    <w:rsid w:val="008A63DC"/>
    <w:rsid w:val="008A660A"/>
    <w:rsid w:val="008A672A"/>
    <w:rsid w:val="008A67F1"/>
    <w:rsid w:val="008A70F5"/>
    <w:rsid w:val="008A79EF"/>
    <w:rsid w:val="008A7B0E"/>
    <w:rsid w:val="008A7B55"/>
    <w:rsid w:val="008B056D"/>
    <w:rsid w:val="008B0A92"/>
    <w:rsid w:val="008B11F8"/>
    <w:rsid w:val="008B1606"/>
    <w:rsid w:val="008B1C2A"/>
    <w:rsid w:val="008B21F7"/>
    <w:rsid w:val="008B227E"/>
    <w:rsid w:val="008B23B8"/>
    <w:rsid w:val="008B27C5"/>
    <w:rsid w:val="008B2B27"/>
    <w:rsid w:val="008B2B79"/>
    <w:rsid w:val="008B3226"/>
    <w:rsid w:val="008B3255"/>
    <w:rsid w:val="008B36B3"/>
    <w:rsid w:val="008B3ACB"/>
    <w:rsid w:val="008B3C66"/>
    <w:rsid w:val="008B3CF5"/>
    <w:rsid w:val="008B4297"/>
    <w:rsid w:val="008B51F9"/>
    <w:rsid w:val="008B5A5E"/>
    <w:rsid w:val="008B63DB"/>
    <w:rsid w:val="008B6610"/>
    <w:rsid w:val="008B73FC"/>
    <w:rsid w:val="008B76DB"/>
    <w:rsid w:val="008B7D52"/>
    <w:rsid w:val="008C026C"/>
    <w:rsid w:val="008C0550"/>
    <w:rsid w:val="008C0828"/>
    <w:rsid w:val="008C0D09"/>
    <w:rsid w:val="008C11C0"/>
    <w:rsid w:val="008C17F9"/>
    <w:rsid w:val="008C2037"/>
    <w:rsid w:val="008C2B82"/>
    <w:rsid w:val="008C2FFB"/>
    <w:rsid w:val="008C30F4"/>
    <w:rsid w:val="008C37D8"/>
    <w:rsid w:val="008C3B54"/>
    <w:rsid w:val="008C3C0B"/>
    <w:rsid w:val="008C3CE1"/>
    <w:rsid w:val="008C3E35"/>
    <w:rsid w:val="008C460B"/>
    <w:rsid w:val="008C468F"/>
    <w:rsid w:val="008C4830"/>
    <w:rsid w:val="008C48AD"/>
    <w:rsid w:val="008C4B8F"/>
    <w:rsid w:val="008C4C2C"/>
    <w:rsid w:val="008C4E2D"/>
    <w:rsid w:val="008C5362"/>
    <w:rsid w:val="008C53D7"/>
    <w:rsid w:val="008C54ED"/>
    <w:rsid w:val="008C594B"/>
    <w:rsid w:val="008C656B"/>
    <w:rsid w:val="008C668D"/>
    <w:rsid w:val="008C6AF5"/>
    <w:rsid w:val="008C6E1F"/>
    <w:rsid w:val="008C73E4"/>
    <w:rsid w:val="008C74AA"/>
    <w:rsid w:val="008D0576"/>
    <w:rsid w:val="008D0E62"/>
    <w:rsid w:val="008D1168"/>
    <w:rsid w:val="008D159C"/>
    <w:rsid w:val="008D15A8"/>
    <w:rsid w:val="008D1602"/>
    <w:rsid w:val="008D1785"/>
    <w:rsid w:val="008D1E66"/>
    <w:rsid w:val="008D1EBD"/>
    <w:rsid w:val="008D2276"/>
    <w:rsid w:val="008D22A6"/>
    <w:rsid w:val="008D235C"/>
    <w:rsid w:val="008D263B"/>
    <w:rsid w:val="008D2C4E"/>
    <w:rsid w:val="008D2E64"/>
    <w:rsid w:val="008D2FB9"/>
    <w:rsid w:val="008D3B0D"/>
    <w:rsid w:val="008D4C15"/>
    <w:rsid w:val="008D4C4D"/>
    <w:rsid w:val="008D5116"/>
    <w:rsid w:val="008D51D6"/>
    <w:rsid w:val="008D56F0"/>
    <w:rsid w:val="008D5A42"/>
    <w:rsid w:val="008D5F99"/>
    <w:rsid w:val="008D6AAB"/>
    <w:rsid w:val="008D7EBA"/>
    <w:rsid w:val="008E09F3"/>
    <w:rsid w:val="008E0AA1"/>
    <w:rsid w:val="008E0CD4"/>
    <w:rsid w:val="008E1618"/>
    <w:rsid w:val="008E23CC"/>
    <w:rsid w:val="008E253B"/>
    <w:rsid w:val="008E2568"/>
    <w:rsid w:val="008E2A73"/>
    <w:rsid w:val="008E2F3F"/>
    <w:rsid w:val="008E30E3"/>
    <w:rsid w:val="008E3145"/>
    <w:rsid w:val="008E38E7"/>
    <w:rsid w:val="008E3B06"/>
    <w:rsid w:val="008E3B9A"/>
    <w:rsid w:val="008E3C8E"/>
    <w:rsid w:val="008E3ED2"/>
    <w:rsid w:val="008E42A3"/>
    <w:rsid w:val="008E4A51"/>
    <w:rsid w:val="008E514E"/>
    <w:rsid w:val="008E5886"/>
    <w:rsid w:val="008E59C3"/>
    <w:rsid w:val="008E59F6"/>
    <w:rsid w:val="008E5D2C"/>
    <w:rsid w:val="008E5F46"/>
    <w:rsid w:val="008E5F59"/>
    <w:rsid w:val="008E5F62"/>
    <w:rsid w:val="008E62B4"/>
    <w:rsid w:val="008E6751"/>
    <w:rsid w:val="008E6A35"/>
    <w:rsid w:val="008E6BB9"/>
    <w:rsid w:val="008E6BCB"/>
    <w:rsid w:val="008E6BE7"/>
    <w:rsid w:val="008E6F38"/>
    <w:rsid w:val="008E6FA9"/>
    <w:rsid w:val="008E7D96"/>
    <w:rsid w:val="008F015E"/>
    <w:rsid w:val="008F01EF"/>
    <w:rsid w:val="008F02CA"/>
    <w:rsid w:val="008F02D2"/>
    <w:rsid w:val="008F03CA"/>
    <w:rsid w:val="008F03F1"/>
    <w:rsid w:val="008F0611"/>
    <w:rsid w:val="008F087B"/>
    <w:rsid w:val="008F0B18"/>
    <w:rsid w:val="008F10E3"/>
    <w:rsid w:val="008F11D2"/>
    <w:rsid w:val="008F16CD"/>
    <w:rsid w:val="008F21E2"/>
    <w:rsid w:val="008F2389"/>
    <w:rsid w:val="008F2B03"/>
    <w:rsid w:val="008F2C02"/>
    <w:rsid w:val="008F2D77"/>
    <w:rsid w:val="008F34C7"/>
    <w:rsid w:val="008F36F2"/>
    <w:rsid w:val="008F41E4"/>
    <w:rsid w:val="008F4338"/>
    <w:rsid w:val="008F4680"/>
    <w:rsid w:val="008F4A03"/>
    <w:rsid w:val="008F5521"/>
    <w:rsid w:val="008F5F65"/>
    <w:rsid w:val="008F6022"/>
    <w:rsid w:val="008F66D1"/>
    <w:rsid w:val="008F6798"/>
    <w:rsid w:val="008F67B8"/>
    <w:rsid w:val="008F6931"/>
    <w:rsid w:val="008F6A44"/>
    <w:rsid w:val="008F6B9F"/>
    <w:rsid w:val="008F6BFC"/>
    <w:rsid w:val="008F6E2F"/>
    <w:rsid w:val="008F72E0"/>
    <w:rsid w:val="008F78A9"/>
    <w:rsid w:val="009000F5"/>
    <w:rsid w:val="0090016B"/>
    <w:rsid w:val="00900D42"/>
    <w:rsid w:val="00901601"/>
    <w:rsid w:val="00901DEF"/>
    <w:rsid w:val="009022F3"/>
    <w:rsid w:val="00902370"/>
    <w:rsid w:val="009026FD"/>
    <w:rsid w:val="0090271F"/>
    <w:rsid w:val="00902742"/>
    <w:rsid w:val="00902BA0"/>
    <w:rsid w:val="00902E0E"/>
    <w:rsid w:val="00902FCC"/>
    <w:rsid w:val="009032C5"/>
    <w:rsid w:val="00903930"/>
    <w:rsid w:val="00903B50"/>
    <w:rsid w:val="00903FAC"/>
    <w:rsid w:val="00903FC3"/>
    <w:rsid w:val="0090447A"/>
    <w:rsid w:val="0090469D"/>
    <w:rsid w:val="00904958"/>
    <w:rsid w:val="00904EEB"/>
    <w:rsid w:val="00905070"/>
    <w:rsid w:val="00905339"/>
    <w:rsid w:val="00905377"/>
    <w:rsid w:val="00905696"/>
    <w:rsid w:val="009059CC"/>
    <w:rsid w:val="00905D91"/>
    <w:rsid w:val="00905EB8"/>
    <w:rsid w:val="00905FCE"/>
    <w:rsid w:val="00905FE7"/>
    <w:rsid w:val="00906CC0"/>
    <w:rsid w:val="00907224"/>
    <w:rsid w:val="00907342"/>
    <w:rsid w:val="0090743E"/>
    <w:rsid w:val="009075E3"/>
    <w:rsid w:val="00907C21"/>
    <w:rsid w:val="00910511"/>
    <w:rsid w:val="009105FC"/>
    <w:rsid w:val="0091088E"/>
    <w:rsid w:val="00910D63"/>
    <w:rsid w:val="00910E23"/>
    <w:rsid w:val="00911972"/>
    <w:rsid w:val="009120F0"/>
    <w:rsid w:val="009121DD"/>
    <w:rsid w:val="00912337"/>
    <w:rsid w:val="00912614"/>
    <w:rsid w:val="00912D10"/>
    <w:rsid w:val="00913018"/>
    <w:rsid w:val="00913301"/>
    <w:rsid w:val="009138B2"/>
    <w:rsid w:val="00913F79"/>
    <w:rsid w:val="00914A57"/>
    <w:rsid w:val="00914AE5"/>
    <w:rsid w:val="00915652"/>
    <w:rsid w:val="00916001"/>
    <w:rsid w:val="00916296"/>
    <w:rsid w:val="00916844"/>
    <w:rsid w:val="00916C9B"/>
    <w:rsid w:val="00916CE9"/>
    <w:rsid w:val="009170E7"/>
    <w:rsid w:val="0091732C"/>
    <w:rsid w:val="009178DB"/>
    <w:rsid w:val="00917F0D"/>
    <w:rsid w:val="009200DA"/>
    <w:rsid w:val="0092119B"/>
    <w:rsid w:val="0092158D"/>
    <w:rsid w:val="009215B9"/>
    <w:rsid w:val="00921E1F"/>
    <w:rsid w:val="00922378"/>
    <w:rsid w:val="009225BD"/>
    <w:rsid w:val="0092289A"/>
    <w:rsid w:val="00922D34"/>
    <w:rsid w:val="00922EE0"/>
    <w:rsid w:val="00923B11"/>
    <w:rsid w:val="00923D3A"/>
    <w:rsid w:val="00923F06"/>
    <w:rsid w:val="009247CA"/>
    <w:rsid w:val="00924F06"/>
    <w:rsid w:val="00925557"/>
    <w:rsid w:val="0092559F"/>
    <w:rsid w:val="00925A50"/>
    <w:rsid w:val="00925B53"/>
    <w:rsid w:val="00925BB9"/>
    <w:rsid w:val="00925CE7"/>
    <w:rsid w:val="00925DBA"/>
    <w:rsid w:val="00925E2E"/>
    <w:rsid w:val="00926927"/>
    <w:rsid w:val="00926CC7"/>
    <w:rsid w:val="00926F6D"/>
    <w:rsid w:val="00926F94"/>
    <w:rsid w:val="009273CD"/>
    <w:rsid w:val="009276E8"/>
    <w:rsid w:val="009300D0"/>
    <w:rsid w:val="00930201"/>
    <w:rsid w:val="00930A7F"/>
    <w:rsid w:val="009316C4"/>
    <w:rsid w:val="009316F9"/>
    <w:rsid w:val="0093170D"/>
    <w:rsid w:val="009318BA"/>
    <w:rsid w:val="00931B56"/>
    <w:rsid w:val="00931FD3"/>
    <w:rsid w:val="00932384"/>
    <w:rsid w:val="00932689"/>
    <w:rsid w:val="009328BF"/>
    <w:rsid w:val="00932E90"/>
    <w:rsid w:val="009333F4"/>
    <w:rsid w:val="009335B4"/>
    <w:rsid w:val="009335F3"/>
    <w:rsid w:val="009337E0"/>
    <w:rsid w:val="009339D9"/>
    <w:rsid w:val="00933A94"/>
    <w:rsid w:val="00933B07"/>
    <w:rsid w:val="00933B97"/>
    <w:rsid w:val="00933D56"/>
    <w:rsid w:val="009345AF"/>
    <w:rsid w:val="0093467B"/>
    <w:rsid w:val="0093469F"/>
    <w:rsid w:val="0093478B"/>
    <w:rsid w:val="00934940"/>
    <w:rsid w:val="00934DC3"/>
    <w:rsid w:val="00934F81"/>
    <w:rsid w:val="0093510B"/>
    <w:rsid w:val="00935532"/>
    <w:rsid w:val="00935672"/>
    <w:rsid w:val="009357C2"/>
    <w:rsid w:val="00935B11"/>
    <w:rsid w:val="0093616F"/>
    <w:rsid w:val="00936E45"/>
    <w:rsid w:val="009371E5"/>
    <w:rsid w:val="00937235"/>
    <w:rsid w:val="00937352"/>
    <w:rsid w:val="009376B1"/>
    <w:rsid w:val="00937725"/>
    <w:rsid w:val="00937ABA"/>
    <w:rsid w:val="00937B0C"/>
    <w:rsid w:val="009400D1"/>
    <w:rsid w:val="00940230"/>
    <w:rsid w:val="009407B5"/>
    <w:rsid w:val="00940CBE"/>
    <w:rsid w:val="00940F4E"/>
    <w:rsid w:val="00941B6D"/>
    <w:rsid w:val="00942964"/>
    <w:rsid w:val="00942D78"/>
    <w:rsid w:val="00942EC7"/>
    <w:rsid w:val="009433AD"/>
    <w:rsid w:val="009433B6"/>
    <w:rsid w:val="00943834"/>
    <w:rsid w:val="00943EAB"/>
    <w:rsid w:val="00943ECD"/>
    <w:rsid w:val="009442D7"/>
    <w:rsid w:val="009442E1"/>
    <w:rsid w:val="00945799"/>
    <w:rsid w:val="00945B44"/>
    <w:rsid w:val="00945F12"/>
    <w:rsid w:val="0094608D"/>
    <w:rsid w:val="009462B5"/>
    <w:rsid w:val="009469FE"/>
    <w:rsid w:val="00946AA4"/>
    <w:rsid w:val="009471A4"/>
    <w:rsid w:val="009476B4"/>
    <w:rsid w:val="009476EC"/>
    <w:rsid w:val="00947862"/>
    <w:rsid w:val="009503C0"/>
    <w:rsid w:val="009504C2"/>
    <w:rsid w:val="00950557"/>
    <w:rsid w:val="00950A07"/>
    <w:rsid w:val="00950CA8"/>
    <w:rsid w:val="00950CD6"/>
    <w:rsid w:val="00950E97"/>
    <w:rsid w:val="009511D8"/>
    <w:rsid w:val="00951AA0"/>
    <w:rsid w:val="00952A26"/>
    <w:rsid w:val="00952C06"/>
    <w:rsid w:val="00953563"/>
    <w:rsid w:val="0095358A"/>
    <w:rsid w:val="00953709"/>
    <w:rsid w:val="009537A7"/>
    <w:rsid w:val="00953898"/>
    <w:rsid w:val="00953B4F"/>
    <w:rsid w:val="00953BB6"/>
    <w:rsid w:val="00953BE5"/>
    <w:rsid w:val="0095467B"/>
    <w:rsid w:val="00954726"/>
    <w:rsid w:val="0095505E"/>
    <w:rsid w:val="00955233"/>
    <w:rsid w:val="009554C3"/>
    <w:rsid w:val="00955CC3"/>
    <w:rsid w:val="009560B5"/>
    <w:rsid w:val="00956B20"/>
    <w:rsid w:val="00956EB9"/>
    <w:rsid w:val="00957218"/>
    <w:rsid w:val="0095731C"/>
    <w:rsid w:val="00957591"/>
    <w:rsid w:val="009578F1"/>
    <w:rsid w:val="00957ECE"/>
    <w:rsid w:val="0096023A"/>
    <w:rsid w:val="00960889"/>
    <w:rsid w:val="00960A38"/>
    <w:rsid w:val="00960C3B"/>
    <w:rsid w:val="00960D6C"/>
    <w:rsid w:val="00961263"/>
    <w:rsid w:val="00961287"/>
    <w:rsid w:val="00961693"/>
    <w:rsid w:val="009618E1"/>
    <w:rsid w:val="00961F5D"/>
    <w:rsid w:val="0096225E"/>
    <w:rsid w:val="00962E50"/>
    <w:rsid w:val="00963524"/>
    <w:rsid w:val="009644EF"/>
    <w:rsid w:val="00964682"/>
    <w:rsid w:val="00965107"/>
    <w:rsid w:val="009655BC"/>
    <w:rsid w:val="00965628"/>
    <w:rsid w:val="00965C5B"/>
    <w:rsid w:val="00965F52"/>
    <w:rsid w:val="00965F7C"/>
    <w:rsid w:val="00966093"/>
    <w:rsid w:val="00966316"/>
    <w:rsid w:val="00966351"/>
    <w:rsid w:val="009663BF"/>
    <w:rsid w:val="009669EF"/>
    <w:rsid w:val="009674DF"/>
    <w:rsid w:val="009707E6"/>
    <w:rsid w:val="00970869"/>
    <w:rsid w:val="00970BB5"/>
    <w:rsid w:val="00970D9C"/>
    <w:rsid w:val="009711BA"/>
    <w:rsid w:val="00971FD0"/>
    <w:rsid w:val="009728FA"/>
    <w:rsid w:val="00972C10"/>
    <w:rsid w:val="00972FF3"/>
    <w:rsid w:val="0097362D"/>
    <w:rsid w:val="00973AD1"/>
    <w:rsid w:val="009740EC"/>
    <w:rsid w:val="0097508D"/>
    <w:rsid w:val="0097657C"/>
    <w:rsid w:val="009766B2"/>
    <w:rsid w:val="00977007"/>
    <w:rsid w:val="00977318"/>
    <w:rsid w:val="00977895"/>
    <w:rsid w:val="00977AB5"/>
    <w:rsid w:val="00977D2E"/>
    <w:rsid w:val="00977DBA"/>
    <w:rsid w:val="00977ECA"/>
    <w:rsid w:val="0098011C"/>
    <w:rsid w:val="0098054F"/>
    <w:rsid w:val="00980961"/>
    <w:rsid w:val="00980CEF"/>
    <w:rsid w:val="00980D9B"/>
    <w:rsid w:val="00980E23"/>
    <w:rsid w:val="009811A0"/>
    <w:rsid w:val="009815A0"/>
    <w:rsid w:val="00981789"/>
    <w:rsid w:val="009824EF"/>
    <w:rsid w:val="00982A2B"/>
    <w:rsid w:val="00982BEE"/>
    <w:rsid w:val="009831A7"/>
    <w:rsid w:val="0098321A"/>
    <w:rsid w:val="009833B5"/>
    <w:rsid w:val="0098349E"/>
    <w:rsid w:val="00983791"/>
    <w:rsid w:val="00983E07"/>
    <w:rsid w:val="009844C3"/>
    <w:rsid w:val="009846C7"/>
    <w:rsid w:val="00984AA1"/>
    <w:rsid w:val="00984B2C"/>
    <w:rsid w:val="00984F86"/>
    <w:rsid w:val="009852C0"/>
    <w:rsid w:val="00985A58"/>
    <w:rsid w:val="00985A95"/>
    <w:rsid w:val="00985C16"/>
    <w:rsid w:val="00986568"/>
    <w:rsid w:val="00986A1C"/>
    <w:rsid w:val="00986FA4"/>
    <w:rsid w:val="009871B3"/>
    <w:rsid w:val="0098733D"/>
    <w:rsid w:val="0098738A"/>
    <w:rsid w:val="00987429"/>
    <w:rsid w:val="00987430"/>
    <w:rsid w:val="0098793E"/>
    <w:rsid w:val="00987955"/>
    <w:rsid w:val="00987A4E"/>
    <w:rsid w:val="00991583"/>
    <w:rsid w:val="00991C65"/>
    <w:rsid w:val="0099213C"/>
    <w:rsid w:val="0099289A"/>
    <w:rsid w:val="00992917"/>
    <w:rsid w:val="00992A9B"/>
    <w:rsid w:val="00992FDC"/>
    <w:rsid w:val="00993766"/>
    <w:rsid w:val="009942A1"/>
    <w:rsid w:val="009942C3"/>
    <w:rsid w:val="00994517"/>
    <w:rsid w:val="00994BA1"/>
    <w:rsid w:val="00994BE6"/>
    <w:rsid w:val="0099571E"/>
    <w:rsid w:val="009959FD"/>
    <w:rsid w:val="00995E73"/>
    <w:rsid w:val="009963AD"/>
    <w:rsid w:val="00996BE2"/>
    <w:rsid w:val="00996C9C"/>
    <w:rsid w:val="00996DBF"/>
    <w:rsid w:val="009973C1"/>
    <w:rsid w:val="00997767"/>
    <w:rsid w:val="00997D79"/>
    <w:rsid w:val="00997F06"/>
    <w:rsid w:val="009A0412"/>
    <w:rsid w:val="009A0472"/>
    <w:rsid w:val="009A0E49"/>
    <w:rsid w:val="009A0E62"/>
    <w:rsid w:val="009A1C11"/>
    <w:rsid w:val="009A1C95"/>
    <w:rsid w:val="009A27CD"/>
    <w:rsid w:val="009A2DDF"/>
    <w:rsid w:val="009A2EE5"/>
    <w:rsid w:val="009A401C"/>
    <w:rsid w:val="009A4295"/>
    <w:rsid w:val="009A4956"/>
    <w:rsid w:val="009A51F3"/>
    <w:rsid w:val="009A53C4"/>
    <w:rsid w:val="009A54B9"/>
    <w:rsid w:val="009A5E37"/>
    <w:rsid w:val="009A5ED8"/>
    <w:rsid w:val="009A60DF"/>
    <w:rsid w:val="009A62FA"/>
    <w:rsid w:val="009A6682"/>
    <w:rsid w:val="009A6BD1"/>
    <w:rsid w:val="009A72DB"/>
    <w:rsid w:val="009A7312"/>
    <w:rsid w:val="009A7334"/>
    <w:rsid w:val="009A7360"/>
    <w:rsid w:val="009A7A57"/>
    <w:rsid w:val="009A7AC9"/>
    <w:rsid w:val="009B0291"/>
    <w:rsid w:val="009B06A2"/>
    <w:rsid w:val="009B082C"/>
    <w:rsid w:val="009B0A4E"/>
    <w:rsid w:val="009B0DC5"/>
    <w:rsid w:val="009B1C46"/>
    <w:rsid w:val="009B1EB5"/>
    <w:rsid w:val="009B1FA2"/>
    <w:rsid w:val="009B2149"/>
    <w:rsid w:val="009B242F"/>
    <w:rsid w:val="009B26F7"/>
    <w:rsid w:val="009B2886"/>
    <w:rsid w:val="009B2E7D"/>
    <w:rsid w:val="009B301C"/>
    <w:rsid w:val="009B39E8"/>
    <w:rsid w:val="009B3DD4"/>
    <w:rsid w:val="009B3E46"/>
    <w:rsid w:val="009B46E8"/>
    <w:rsid w:val="009B4922"/>
    <w:rsid w:val="009B4EAD"/>
    <w:rsid w:val="009B5135"/>
    <w:rsid w:val="009B56B9"/>
    <w:rsid w:val="009B5768"/>
    <w:rsid w:val="009B5878"/>
    <w:rsid w:val="009B5D62"/>
    <w:rsid w:val="009B5DA3"/>
    <w:rsid w:val="009B6564"/>
    <w:rsid w:val="009B6F3E"/>
    <w:rsid w:val="009B6FD3"/>
    <w:rsid w:val="009B7A5C"/>
    <w:rsid w:val="009C0114"/>
    <w:rsid w:val="009C034E"/>
    <w:rsid w:val="009C0407"/>
    <w:rsid w:val="009C041C"/>
    <w:rsid w:val="009C06C0"/>
    <w:rsid w:val="009C07AA"/>
    <w:rsid w:val="009C17A1"/>
    <w:rsid w:val="009C1AA9"/>
    <w:rsid w:val="009C2059"/>
    <w:rsid w:val="009C32D5"/>
    <w:rsid w:val="009C3502"/>
    <w:rsid w:val="009C3833"/>
    <w:rsid w:val="009C447F"/>
    <w:rsid w:val="009C465B"/>
    <w:rsid w:val="009C4768"/>
    <w:rsid w:val="009C482F"/>
    <w:rsid w:val="009C4842"/>
    <w:rsid w:val="009C5C0E"/>
    <w:rsid w:val="009C5C53"/>
    <w:rsid w:val="009C65C5"/>
    <w:rsid w:val="009C687F"/>
    <w:rsid w:val="009C6F3F"/>
    <w:rsid w:val="009C7010"/>
    <w:rsid w:val="009C7570"/>
    <w:rsid w:val="009C7DC9"/>
    <w:rsid w:val="009C7F09"/>
    <w:rsid w:val="009D03DB"/>
    <w:rsid w:val="009D1288"/>
    <w:rsid w:val="009D1438"/>
    <w:rsid w:val="009D18D4"/>
    <w:rsid w:val="009D1AFA"/>
    <w:rsid w:val="009D1B73"/>
    <w:rsid w:val="009D1F5A"/>
    <w:rsid w:val="009D3422"/>
    <w:rsid w:val="009D351A"/>
    <w:rsid w:val="009D4A9C"/>
    <w:rsid w:val="009D53E6"/>
    <w:rsid w:val="009D556A"/>
    <w:rsid w:val="009D59E1"/>
    <w:rsid w:val="009D5C50"/>
    <w:rsid w:val="009D6426"/>
    <w:rsid w:val="009D6C2A"/>
    <w:rsid w:val="009D6C91"/>
    <w:rsid w:val="009D7174"/>
    <w:rsid w:val="009D7949"/>
    <w:rsid w:val="009D7C59"/>
    <w:rsid w:val="009E07F3"/>
    <w:rsid w:val="009E1144"/>
    <w:rsid w:val="009E137B"/>
    <w:rsid w:val="009E180C"/>
    <w:rsid w:val="009E1C05"/>
    <w:rsid w:val="009E2062"/>
    <w:rsid w:val="009E262D"/>
    <w:rsid w:val="009E264C"/>
    <w:rsid w:val="009E2794"/>
    <w:rsid w:val="009E2989"/>
    <w:rsid w:val="009E2B83"/>
    <w:rsid w:val="009E2BDC"/>
    <w:rsid w:val="009E30AB"/>
    <w:rsid w:val="009E30C1"/>
    <w:rsid w:val="009E31AC"/>
    <w:rsid w:val="009E325E"/>
    <w:rsid w:val="009E3629"/>
    <w:rsid w:val="009E3F5B"/>
    <w:rsid w:val="009E5513"/>
    <w:rsid w:val="009E5666"/>
    <w:rsid w:val="009E5EE4"/>
    <w:rsid w:val="009E5F0B"/>
    <w:rsid w:val="009E62AF"/>
    <w:rsid w:val="009E63A3"/>
    <w:rsid w:val="009E6E0A"/>
    <w:rsid w:val="009E7556"/>
    <w:rsid w:val="009E7646"/>
    <w:rsid w:val="009E7807"/>
    <w:rsid w:val="009E7AAF"/>
    <w:rsid w:val="009E7F2A"/>
    <w:rsid w:val="009F02F7"/>
    <w:rsid w:val="009F08E3"/>
    <w:rsid w:val="009F0AF4"/>
    <w:rsid w:val="009F0BA7"/>
    <w:rsid w:val="009F0C62"/>
    <w:rsid w:val="009F10E2"/>
    <w:rsid w:val="009F1371"/>
    <w:rsid w:val="009F1D32"/>
    <w:rsid w:val="009F1FF4"/>
    <w:rsid w:val="009F268D"/>
    <w:rsid w:val="009F2E1C"/>
    <w:rsid w:val="009F2F15"/>
    <w:rsid w:val="009F3458"/>
    <w:rsid w:val="009F3565"/>
    <w:rsid w:val="009F3C4B"/>
    <w:rsid w:val="009F3D80"/>
    <w:rsid w:val="009F3FF2"/>
    <w:rsid w:val="009F40D5"/>
    <w:rsid w:val="009F42D5"/>
    <w:rsid w:val="009F48A9"/>
    <w:rsid w:val="009F4CFB"/>
    <w:rsid w:val="009F4D21"/>
    <w:rsid w:val="009F62D3"/>
    <w:rsid w:val="009F63EB"/>
    <w:rsid w:val="009F6AC2"/>
    <w:rsid w:val="009F7202"/>
    <w:rsid w:val="009F739B"/>
    <w:rsid w:val="009F75ED"/>
    <w:rsid w:val="009F7D25"/>
    <w:rsid w:val="009F7EE8"/>
    <w:rsid w:val="009F7F49"/>
    <w:rsid w:val="00A004A2"/>
    <w:rsid w:val="00A00C15"/>
    <w:rsid w:val="00A01369"/>
    <w:rsid w:val="00A01377"/>
    <w:rsid w:val="00A01387"/>
    <w:rsid w:val="00A0197D"/>
    <w:rsid w:val="00A01F4C"/>
    <w:rsid w:val="00A022EB"/>
    <w:rsid w:val="00A025F4"/>
    <w:rsid w:val="00A026EF"/>
    <w:rsid w:val="00A027E6"/>
    <w:rsid w:val="00A02A7F"/>
    <w:rsid w:val="00A02C5F"/>
    <w:rsid w:val="00A0368D"/>
    <w:rsid w:val="00A03F26"/>
    <w:rsid w:val="00A03F4D"/>
    <w:rsid w:val="00A04263"/>
    <w:rsid w:val="00A043A9"/>
    <w:rsid w:val="00A04627"/>
    <w:rsid w:val="00A04B0C"/>
    <w:rsid w:val="00A04E69"/>
    <w:rsid w:val="00A04F00"/>
    <w:rsid w:val="00A05309"/>
    <w:rsid w:val="00A05B02"/>
    <w:rsid w:val="00A05C01"/>
    <w:rsid w:val="00A05EBA"/>
    <w:rsid w:val="00A06110"/>
    <w:rsid w:val="00A0645E"/>
    <w:rsid w:val="00A0646A"/>
    <w:rsid w:val="00A06548"/>
    <w:rsid w:val="00A06642"/>
    <w:rsid w:val="00A066BE"/>
    <w:rsid w:val="00A06AE8"/>
    <w:rsid w:val="00A06B37"/>
    <w:rsid w:val="00A06EBB"/>
    <w:rsid w:val="00A07229"/>
    <w:rsid w:val="00A07C7D"/>
    <w:rsid w:val="00A100A8"/>
    <w:rsid w:val="00A1077F"/>
    <w:rsid w:val="00A109A1"/>
    <w:rsid w:val="00A10BC0"/>
    <w:rsid w:val="00A10F0A"/>
    <w:rsid w:val="00A11426"/>
    <w:rsid w:val="00A117A6"/>
    <w:rsid w:val="00A11A3C"/>
    <w:rsid w:val="00A11B75"/>
    <w:rsid w:val="00A12049"/>
    <w:rsid w:val="00A12A8C"/>
    <w:rsid w:val="00A12C48"/>
    <w:rsid w:val="00A12CCF"/>
    <w:rsid w:val="00A1375C"/>
    <w:rsid w:val="00A139DA"/>
    <w:rsid w:val="00A13BAC"/>
    <w:rsid w:val="00A13CB0"/>
    <w:rsid w:val="00A1415C"/>
    <w:rsid w:val="00A14238"/>
    <w:rsid w:val="00A1429F"/>
    <w:rsid w:val="00A142BE"/>
    <w:rsid w:val="00A16124"/>
    <w:rsid w:val="00A166E0"/>
    <w:rsid w:val="00A16E0F"/>
    <w:rsid w:val="00A1766E"/>
    <w:rsid w:val="00A1794E"/>
    <w:rsid w:val="00A17E37"/>
    <w:rsid w:val="00A2091B"/>
    <w:rsid w:val="00A21002"/>
    <w:rsid w:val="00A21ADE"/>
    <w:rsid w:val="00A21D02"/>
    <w:rsid w:val="00A21D3C"/>
    <w:rsid w:val="00A21DDF"/>
    <w:rsid w:val="00A21E70"/>
    <w:rsid w:val="00A21EA8"/>
    <w:rsid w:val="00A228C6"/>
    <w:rsid w:val="00A22B13"/>
    <w:rsid w:val="00A22F39"/>
    <w:rsid w:val="00A22F78"/>
    <w:rsid w:val="00A22F9F"/>
    <w:rsid w:val="00A23488"/>
    <w:rsid w:val="00A23528"/>
    <w:rsid w:val="00A242CB"/>
    <w:rsid w:val="00A2443C"/>
    <w:rsid w:val="00A244A8"/>
    <w:rsid w:val="00A24518"/>
    <w:rsid w:val="00A24588"/>
    <w:rsid w:val="00A24AE9"/>
    <w:rsid w:val="00A24E8D"/>
    <w:rsid w:val="00A25A59"/>
    <w:rsid w:val="00A25BF8"/>
    <w:rsid w:val="00A27297"/>
    <w:rsid w:val="00A2739A"/>
    <w:rsid w:val="00A27410"/>
    <w:rsid w:val="00A274FB"/>
    <w:rsid w:val="00A27AF6"/>
    <w:rsid w:val="00A30336"/>
    <w:rsid w:val="00A305A6"/>
    <w:rsid w:val="00A305AE"/>
    <w:rsid w:val="00A30870"/>
    <w:rsid w:val="00A308B3"/>
    <w:rsid w:val="00A30BDD"/>
    <w:rsid w:val="00A30D08"/>
    <w:rsid w:val="00A30E02"/>
    <w:rsid w:val="00A311B3"/>
    <w:rsid w:val="00A31323"/>
    <w:rsid w:val="00A31A10"/>
    <w:rsid w:val="00A31AB2"/>
    <w:rsid w:val="00A31FFF"/>
    <w:rsid w:val="00A32246"/>
    <w:rsid w:val="00A322C7"/>
    <w:rsid w:val="00A326B3"/>
    <w:rsid w:val="00A32917"/>
    <w:rsid w:val="00A32D09"/>
    <w:rsid w:val="00A3315D"/>
    <w:rsid w:val="00A333F6"/>
    <w:rsid w:val="00A33756"/>
    <w:rsid w:val="00A33FE9"/>
    <w:rsid w:val="00A34555"/>
    <w:rsid w:val="00A34718"/>
    <w:rsid w:val="00A3474C"/>
    <w:rsid w:val="00A347B5"/>
    <w:rsid w:val="00A349FB"/>
    <w:rsid w:val="00A34A45"/>
    <w:rsid w:val="00A3527F"/>
    <w:rsid w:val="00A35B16"/>
    <w:rsid w:val="00A35B53"/>
    <w:rsid w:val="00A35CF6"/>
    <w:rsid w:val="00A35F7A"/>
    <w:rsid w:val="00A3605A"/>
    <w:rsid w:val="00A3625B"/>
    <w:rsid w:val="00A362EF"/>
    <w:rsid w:val="00A368B8"/>
    <w:rsid w:val="00A36A5D"/>
    <w:rsid w:val="00A36E49"/>
    <w:rsid w:val="00A36EC6"/>
    <w:rsid w:val="00A36EFB"/>
    <w:rsid w:val="00A37777"/>
    <w:rsid w:val="00A3778D"/>
    <w:rsid w:val="00A37DF2"/>
    <w:rsid w:val="00A40251"/>
    <w:rsid w:val="00A406EA"/>
    <w:rsid w:val="00A4080E"/>
    <w:rsid w:val="00A40B0A"/>
    <w:rsid w:val="00A40C1E"/>
    <w:rsid w:val="00A40D52"/>
    <w:rsid w:val="00A4157F"/>
    <w:rsid w:val="00A41ECF"/>
    <w:rsid w:val="00A426F8"/>
    <w:rsid w:val="00A42749"/>
    <w:rsid w:val="00A427AE"/>
    <w:rsid w:val="00A42F3D"/>
    <w:rsid w:val="00A42FC0"/>
    <w:rsid w:val="00A4309F"/>
    <w:rsid w:val="00A431F6"/>
    <w:rsid w:val="00A43896"/>
    <w:rsid w:val="00A43AF6"/>
    <w:rsid w:val="00A440A8"/>
    <w:rsid w:val="00A4415F"/>
    <w:rsid w:val="00A44949"/>
    <w:rsid w:val="00A45283"/>
    <w:rsid w:val="00A455DD"/>
    <w:rsid w:val="00A4590F"/>
    <w:rsid w:val="00A4592D"/>
    <w:rsid w:val="00A46327"/>
    <w:rsid w:val="00A468BC"/>
    <w:rsid w:val="00A4690E"/>
    <w:rsid w:val="00A46AC0"/>
    <w:rsid w:val="00A4737D"/>
    <w:rsid w:val="00A4738B"/>
    <w:rsid w:val="00A474CB"/>
    <w:rsid w:val="00A475B3"/>
    <w:rsid w:val="00A475C2"/>
    <w:rsid w:val="00A50184"/>
    <w:rsid w:val="00A50B93"/>
    <w:rsid w:val="00A50C81"/>
    <w:rsid w:val="00A50DB6"/>
    <w:rsid w:val="00A51034"/>
    <w:rsid w:val="00A51277"/>
    <w:rsid w:val="00A517E8"/>
    <w:rsid w:val="00A51D9C"/>
    <w:rsid w:val="00A51F5E"/>
    <w:rsid w:val="00A52324"/>
    <w:rsid w:val="00A52863"/>
    <w:rsid w:val="00A52E55"/>
    <w:rsid w:val="00A53264"/>
    <w:rsid w:val="00A53873"/>
    <w:rsid w:val="00A53C72"/>
    <w:rsid w:val="00A53FEE"/>
    <w:rsid w:val="00A5415A"/>
    <w:rsid w:val="00A544FA"/>
    <w:rsid w:val="00A54F76"/>
    <w:rsid w:val="00A55107"/>
    <w:rsid w:val="00A55202"/>
    <w:rsid w:val="00A556B3"/>
    <w:rsid w:val="00A55E28"/>
    <w:rsid w:val="00A55E8B"/>
    <w:rsid w:val="00A55F14"/>
    <w:rsid w:val="00A5611C"/>
    <w:rsid w:val="00A567A6"/>
    <w:rsid w:val="00A56831"/>
    <w:rsid w:val="00A57031"/>
    <w:rsid w:val="00A575AB"/>
    <w:rsid w:val="00A57667"/>
    <w:rsid w:val="00A576F4"/>
    <w:rsid w:val="00A60293"/>
    <w:rsid w:val="00A607DD"/>
    <w:rsid w:val="00A60ABA"/>
    <w:rsid w:val="00A6170D"/>
    <w:rsid w:val="00A61A08"/>
    <w:rsid w:val="00A61F0C"/>
    <w:rsid w:val="00A62AFC"/>
    <w:rsid w:val="00A62C2C"/>
    <w:rsid w:val="00A62FFF"/>
    <w:rsid w:val="00A63769"/>
    <w:rsid w:val="00A63B89"/>
    <w:rsid w:val="00A63C25"/>
    <w:rsid w:val="00A63F3A"/>
    <w:rsid w:val="00A643AA"/>
    <w:rsid w:val="00A6496E"/>
    <w:rsid w:val="00A651A4"/>
    <w:rsid w:val="00A653FB"/>
    <w:rsid w:val="00A65BD2"/>
    <w:rsid w:val="00A65C66"/>
    <w:rsid w:val="00A666A0"/>
    <w:rsid w:val="00A6671F"/>
    <w:rsid w:val="00A671E3"/>
    <w:rsid w:val="00A6729F"/>
    <w:rsid w:val="00A67690"/>
    <w:rsid w:val="00A679FF"/>
    <w:rsid w:val="00A67FE9"/>
    <w:rsid w:val="00A70184"/>
    <w:rsid w:val="00A70E71"/>
    <w:rsid w:val="00A71542"/>
    <w:rsid w:val="00A722D3"/>
    <w:rsid w:val="00A7235C"/>
    <w:rsid w:val="00A72AEA"/>
    <w:rsid w:val="00A73C03"/>
    <w:rsid w:val="00A73FA9"/>
    <w:rsid w:val="00A7417F"/>
    <w:rsid w:val="00A74213"/>
    <w:rsid w:val="00A745F3"/>
    <w:rsid w:val="00A74699"/>
    <w:rsid w:val="00A7469E"/>
    <w:rsid w:val="00A74BA9"/>
    <w:rsid w:val="00A75A8F"/>
    <w:rsid w:val="00A75B7B"/>
    <w:rsid w:val="00A75E30"/>
    <w:rsid w:val="00A7602A"/>
    <w:rsid w:val="00A761AB"/>
    <w:rsid w:val="00A76317"/>
    <w:rsid w:val="00A768B4"/>
    <w:rsid w:val="00A769BC"/>
    <w:rsid w:val="00A76A9F"/>
    <w:rsid w:val="00A76DDB"/>
    <w:rsid w:val="00A77505"/>
    <w:rsid w:val="00A77810"/>
    <w:rsid w:val="00A77ACA"/>
    <w:rsid w:val="00A77B7A"/>
    <w:rsid w:val="00A8014F"/>
    <w:rsid w:val="00A8018A"/>
    <w:rsid w:val="00A808A2"/>
    <w:rsid w:val="00A80C22"/>
    <w:rsid w:val="00A80DDF"/>
    <w:rsid w:val="00A80EF6"/>
    <w:rsid w:val="00A80F13"/>
    <w:rsid w:val="00A81177"/>
    <w:rsid w:val="00A813F8"/>
    <w:rsid w:val="00A819D7"/>
    <w:rsid w:val="00A82325"/>
    <w:rsid w:val="00A82A5B"/>
    <w:rsid w:val="00A83081"/>
    <w:rsid w:val="00A834C2"/>
    <w:rsid w:val="00A83B50"/>
    <w:rsid w:val="00A83C71"/>
    <w:rsid w:val="00A83E63"/>
    <w:rsid w:val="00A83E78"/>
    <w:rsid w:val="00A8466F"/>
    <w:rsid w:val="00A846D8"/>
    <w:rsid w:val="00A84A27"/>
    <w:rsid w:val="00A85004"/>
    <w:rsid w:val="00A8519A"/>
    <w:rsid w:val="00A8520C"/>
    <w:rsid w:val="00A861C3"/>
    <w:rsid w:val="00A870A3"/>
    <w:rsid w:val="00A8724E"/>
    <w:rsid w:val="00A8779C"/>
    <w:rsid w:val="00A87FA8"/>
    <w:rsid w:val="00A900C7"/>
    <w:rsid w:val="00A90F6B"/>
    <w:rsid w:val="00A911E0"/>
    <w:rsid w:val="00A91BCC"/>
    <w:rsid w:val="00A91E59"/>
    <w:rsid w:val="00A91EED"/>
    <w:rsid w:val="00A9212A"/>
    <w:rsid w:val="00A92274"/>
    <w:rsid w:val="00A923B1"/>
    <w:rsid w:val="00A92411"/>
    <w:rsid w:val="00A9245C"/>
    <w:rsid w:val="00A92C1D"/>
    <w:rsid w:val="00A92D62"/>
    <w:rsid w:val="00A9310B"/>
    <w:rsid w:val="00A9339E"/>
    <w:rsid w:val="00A93466"/>
    <w:rsid w:val="00A94338"/>
    <w:rsid w:val="00A9451D"/>
    <w:rsid w:val="00A94535"/>
    <w:rsid w:val="00A94DD4"/>
    <w:rsid w:val="00A94EB5"/>
    <w:rsid w:val="00A95639"/>
    <w:rsid w:val="00A956A8"/>
    <w:rsid w:val="00A957E8"/>
    <w:rsid w:val="00A95A2B"/>
    <w:rsid w:val="00A962F9"/>
    <w:rsid w:val="00A96792"/>
    <w:rsid w:val="00A967EE"/>
    <w:rsid w:val="00A96906"/>
    <w:rsid w:val="00A96B48"/>
    <w:rsid w:val="00A96C9E"/>
    <w:rsid w:val="00A96E53"/>
    <w:rsid w:val="00A9709C"/>
    <w:rsid w:val="00A97593"/>
    <w:rsid w:val="00A97B70"/>
    <w:rsid w:val="00A97D99"/>
    <w:rsid w:val="00AA0062"/>
    <w:rsid w:val="00AA042A"/>
    <w:rsid w:val="00AA046A"/>
    <w:rsid w:val="00AA133E"/>
    <w:rsid w:val="00AA1353"/>
    <w:rsid w:val="00AA188A"/>
    <w:rsid w:val="00AA2446"/>
    <w:rsid w:val="00AA2A26"/>
    <w:rsid w:val="00AA2C32"/>
    <w:rsid w:val="00AA3199"/>
    <w:rsid w:val="00AA3413"/>
    <w:rsid w:val="00AA3649"/>
    <w:rsid w:val="00AA36E9"/>
    <w:rsid w:val="00AA3F58"/>
    <w:rsid w:val="00AA538E"/>
    <w:rsid w:val="00AA5527"/>
    <w:rsid w:val="00AA57BE"/>
    <w:rsid w:val="00AA5968"/>
    <w:rsid w:val="00AA5BAB"/>
    <w:rsid w:val="00AA5E3E"/>
    <w:rsid w:val="00AA64B1"/>
    <w:rsid w:val="00AA6574"/>
    <w:rsid w:val="00AA6744"/>
    <w:rsid w:val="00AA6988"/>
    <w:rsid w:val="00AA6AF1"/>
    <w:rsid w:val="00AA6B0B"/>
    <w:rsid w:val="00AA6EF6"/>
    <w:rsid w:val="00AA7526"/>
    <w:rsid w:val="00AA7F3F"/>
    <w:rsid w:val="00AB0225"/>
    <w:rsid w:val="00AB03D2"/>
    <w:rsid w:val="00AB0506"/>
    <w:rsid w:val="00AB0BD7"/>
    <w:rsid w:val="00AB0C48"/>
    <w:rsid w:val="00AB0E9D"/>
    <w:rsid w:val="00AB2438"/>
    <w:rsid w:val="00AB2B41"/>
    <w:rsid w:val="00AB3068"/>
    <w:rsid w:val="00AB3AC1"/>
    <w:rsid w:val="00AB3B65"/>
    <w:rsid w:val="00AB45C1"/>
    <w:rsid w:val="00AB48B7"/>
    <w:rsid w:val="00AB4D85"/>
    <w:rsid w:val="00AB51D0"/>
    <w:rsid w:val="00AB57BE"/>
    <w:rsid w:val="00AB5D5F"/>
    <w:rsid w:val="00AB5DB9"/>
    <w:rsid w:val="00AB5F39"/>
    <w:rsid w:val="00AB5FBB"/>
    <w:rsid w:val="00AB6768"/>
    <w:rsid w:val="00AB6F09"/>
    <w:rsid w:val="00AB75BA"/>
    <w:rsid w:val="00AB7A38"/>
    <w:rsid w:val="00AB7BA9"/>
    <w:rsid w:val="00AC0949"/>
    <w:rsid w:val="00AC0999"/>
    <w:rsid w:val="00AC0E09"/>
    <w:rsid w:val="00AC15BB"/>
    <w:rsid w:val="00AC1643"/>
    <w:rsid w:val="00AC1786"/>
    <w:rsid w:val="00AC1AFE"/>
    <w:rsid w:val="00AC1D94"/>
    <w:rsid w:val="00AC1DE6"/>
    <w:rsid w:val="00AC241C"/>
    <w:rsid w:val="00AC2667"/>
    <w:rsid w:val="00AC2BD2"/>
    <w:rsid w:val="00AC2E54"/>
    <w:rsid w:val="00AC2E7F"/>
    <w:rsid w:val="00AC3365"/>
    <w:rsid w:val="00AC33C6"/>
    <w:rsid w:val="00AC3B85"/>
    <w:rsid w:val="00AC3E99"/>
    <w:rsid w:val="00AC44A6"/>
    <w:rsid w:val="00AC47EF"/>
    <w:rsid w:val="00AC501D"/>
    <w:rsid w:val="00AC50B1"/>
    <w:rsid w:val="00AC52DE"/>
    <w:rsid w:val="00AC55BD"/>
    <w:rsid w:val="00AC55C0"/>
    <w:rsid w:val="00AC579C"/>
    <w:rsid w:val="00AC5D46"/>
    <w:rsid w:val="00AC5EF9"/>
    <w:rsid w:val="00AC635A"/>
    <w:rsid w:val="00AC7782"/>
    <w:rsid w:val="00AC77C5"/>
    <w:rsid w:val="00AC7E30"/>
    <w:rsid w:val="00AD0F9E"/>
    <w:rsid w:val="00AD13D7"/>
    <w:rsid w:val="00AD1B88"/>
    <w:rsid w:val="00AD1CC7"/>
    <w:rsid w:val="00AD232F"/>
    <w:rsid w:val="00AD2556"/>
    <w:rsid w:val="00AD29F4"/>
    <w:rsid w:val="00AD2A79"/>
    <w:rsid w:val="00AD2E51"/>
    <w:rsid w:val="00AD3113"/>
    <w:rsid w:val="00AD3209"/>
    <w:rsid w:val="00AD3536"/>
    <w:rsid w:val="00AD3DD4"/>
    <w:rsid w:val="00AD4081"/>
    <w:rsid w:val="00AD428B"/>
    <w:rsid w:val="00AD43FD"/>
    <w:rsid w:val="00AD4643"/>
    <w:rsid w:val="00AD4A67"/>
    <w:rsid w:val="00AD652E"/>
    <w:rsid w:val="00AD68B5"/>
    <w:rsid w:val="00AD71D8"/>
    <w:rsid w:val="00AD73C4"/>
    <w:rsid w:val="00AD7DAA"/>
    <w:rsid w:val="00AE0644"/>
    <w:rsid w:val="00AE073B"/>
    <w:rsid w:val="00AE0AFF"/>
    <w:rsid w:val="00AE0E2A"/>
    <w:rsid w:val="00AE0F89"/>
    <w:rsid w:val="00AE13BF"/>
    <w:rsid w:val="00AE140A"/>
    <w:rsid w:val="00AE15D5"/>
    <w:rsid w:val="00AE16BB"/>
    <w:rsid w:val="00AE2011"/>
    <w:rsid w:val="00AE2766"/>
    <w:rsid w:val="00AE2DB3"/>
    <w:rsid w:val="00AE3144"/>
    <w:rsid w:val="00AE3262"/>
    <w:rsid w:val="00AE3405"/>
    <w:rsid w:val="00AE373B"/>
    <w:rsid w:val="00AE3845"/>
    <w:rsid w:val="00AE42B8"/>
    <w:rsid w:val="00AE4432"/>
    <w:rsid w:val="00AE4537"/>
    <w:rsid w:val="00AE483E"/>
    <w:rsid w:val="00AE4960"/>
    <w:rsid w:val="00AE4CAD"/>
    <w:rsid w:val="00AE4E7E"/>
    <w:rsid w:val="00AE5003"/>
    <w:rsid w:val="00AE5ADE"/>
    <w:rsid w:val="00AE5F59"/>
    <w:rsid w:val="00AE63B7"/>
    <w:rsid w:val="00AE6594"/>
    <w:rsid w:val="00AE65DB"/>
    <w:rsid w:val="00AE6A7F"/>
    <w:rsid w:val="00AE78E7"/>
    <w:rsid w:val="00AE7964"/>
    <w:rsid w:val="00AE7A22"/>
    <w:rsid w:val="00AE7BDD"/>
    <w:rsid w:val="00AF008B"/>
    <w:rsid w:val="00AF03FD"/>
    <w:rsid w:val="00AF0450"/>
    <w:rsid w:val="00AF0A36"/>
    <w:rsid w:val="00AF0FEB"/>
    <w:rsid w:val="00AF2302"/>
    <w:rsid w:val="00AF26E6"/>
    <w:rsid w:val="00AF27A2"/>
    <w:rsid w:val="00AF3068"/>
    <w:rsid w:val="00AF3592"/>
    <w:rsid w:val="00AF3C04"/>
    <w:rsid w:val="00AF3C61"/>
    <w:rsid w:val="00AF3E66"/>
    <w:rsid w:val="00AF41CF"/>
    <w:rsid w:val="00AF42C1"/>
    <w:rsid w:val="00AF4B08"/>
    <w:rsid w:val="00AF549D"/>
    <w:rsid w:val="00AF56F3"/>
    <w:rsid w:val="00AF5DD3"/>
    <w:rsid w:val="00AF6043"/>
    <w:rsid w:val="00AF6111"/>
    <w:rsid w:val="00AF64D8"/>
    <w:rsid w:val="00AF6A31"/>
    <w:rsid w:val="00AF6A84"/>
    <w:rsid w:val="00AF6AFA"/>
    <w:rsid w:val="00AF6DE2"/>
    <w:rsid w:val="00AF74B3"/>
    <w:rsid w:val="00AF7C81"/>
    <w:rsid w:val="00B007D8"/>
    <w:rsid w:val="00B00949"/>
    <w:rsid w:val="00B00E06"/>
    <w:rsid w:val="00B0162E"/>
    <w:rsid w:val="00B016AD"/>
    <w:rsid w:val="00B01881"/>
    <w:rsid w:val="00B01911"/>
    <w:rsid w:val="00B0191D"/>
    <w:rsid w:val="00B0194B"/>
    <w:rsid w:val="00B01A98"/>
    <w:rsid w:val="00B01D89"/>
    <w:rsid w:val="00B01EBD"/>
    <w:rsid w:val="00B01EC5"/>
    <w:rsid w:val="00B02069"/>
    <w:rsid w:val="00B027C0"/>
    <w:rsid w:val="00B02D61"/>
    <w:rsid w:val="00B0303C"/>
    <w:rsid w:val="00B032C8"/>
    <w:rsid w:val="00B033CD"/>
    <w:rsid w:val="00B03CBB"/>
    <w:rsid w:val="00B04137"/>
    <w:rsid w:val="00B046B0"/>
    <w:rsid w:val="00B04BB2"/>
    <w:rsid w:val="00B05557"/>
    <w:rsid w:val="00B055C5"/>
    <w:rsid w:val="00B0574E"/>
    <w:rsid w:val="00B05A4B"/>
    <w:rsid w:val="00B05CB1"/>
    <w:rsid w:val="00B061D4"/>
    <w:rsid w:val="00B062E2"/>
    <w:rsid w:val="00B07194"/>
    <w:rsid w:val="00B07D41"/>
    <w:rsid w:val="00B10F77"/>
    <w:rsid w:val="00B11494"/>
    <w:rsid w:val="00B11999"/>
    <w:rsid w:val="00B11B1C"/>
    <w:rsid w:val="00B11D6F"/>
    <w:rsid w:val="00B12C5C"/>
    <w:rsid w:val="00B12D24"/>
    <w:rsid w:val="00B12D3B"/>
    <w:rsid w:val="00B12EE2"/>
    <w:rsid w:val="00B1309C"/>
    <w:rsid w:val="00B135CC"/>
    <w:rsid w:val="00B13950"/>
    <w:rsid w:val="00B13A37"/>
    <w:rsid w:val="00B13C17"/>
    <w:rsid w:val="00B14038"/>
    <w:rsid w:val="00B14F56"/>
    <w:rsid w:val="00B154E7"/>
    <w:rsid w:val="00B157FD"/>
    <w:rsid w:val="00B159F2"/>
    <w:rsid w:val="00B15A21"/>
    <w:rsid w:val="00B1665A"/>
    <w:rsid w:val="00B16709"/>
    <w:rsid w:val="00B16C2E"/>
    <w:rsid w:val="00B16C96"/>
    <w:rsid w:val="00B20023"/>
    <w:rsid w:val="00B2013D"/>
    <w:rsid w:val="00B20285"/>
    <w:rsid w:val="00B202C3"/>
    <w:rsid w:val="00B20A96"/>
    <w:rsid w:val="00B20BF8"/>
    <w:rsid w:val="00B2105C"/>
    <w:rsid w:val="00B216A3"/>
    <w:rsid w:val="00B218C7"/>
    <w:rsid w:val="00B21E6A"/>
    <w:rsid w:val="00B21F54"/>
    <w:rsid w:val="00B2209A"/>
    <w:rsid w:val="00B22654"/>
    <w:rsid w:val="00B22D09"/>
    <w:rsid w:val="00B23301"/>
    <w:rsid w:val="00B23508"/>
    <w:rsid w:val="00B2416A"/>
    <w:rsid w:val="00B2420A"/>
    <w:rsid w:val="00B24FFD"/>
    <w:rsid w:val="00B2502D"/>
    <w:rsid w:val="00B25089"/>
    <w:rsid w:val="00B256C5"/>
    <w:rsid w:val="00B259A6"/>
    <w:rsid w:val="00B26C37"/>
    <w:rsid w:val="00B275F5"/>
    <w:rsid w:val="00B27660"/>
    <w:rsid w:val="00B27913"/>
    <w:rsid w:val="00B30341"/>
    <w:rsid w:val="00B30771"/>
    <w:rsid w:val="00B312B8"/>
    <w:rsid w:val="00B31504"/>
    <w:rsid w:val="00B32434"/>
    <w:rsid w:val="00B32564"/>
    <w:rsid w:val="00B3355B"/>
    <w:rsid w:val="00B3393C"/>
    <w:rsid w:val="00B339FE"/>
    <w:rsid w:val="00B34375"/>
    <w:rsid w:val="00B345BD"/>
    <w:rsid w:val="00B3469F"/>
    <w:rsid w:val="00B34DD6"/>
    <w:rsid w:val="00B35004"/>
    <w:rsid w:val="00B35103"/>
    <w:rsid w:val="00B35C65"/>
    <w:rsid w:val="00B360BC"/>
    <w:rsid w:val="00B36338"/>
    <w:rsid w:val="00B370DC"/>
    <w:rsid w:val="00B375F5"/>
    <w:rsid w:val="00B400C0"/>
    <w:rsid w:val="00B401EC"/>
    <w:rsid w:val="00B40802"/>
    <w:rsid w:val="00B40C5A"/>
    <w:rsid w:val="00B411A7"/>
    <w:rsid w:val="00B4123D"/>
    <w:rsid w:val="00B423AC"/>
    <w:rsid w:val="00B4243E"/>
    <w:rsid w:val="00B424B1"/>
    <w:rsid w:val="00B42CBF"/>
    <w:rsid w:val="00B42F52"/>
    <w:rsid w:val="00B43089"/>
    <w:rsid w:val="00B43EE1"/>
    <w:rsid w:val="00B44598"/>
    <w:rsid w:val="00B44C80"/>
    <w:rsid w:val="00B44CFD"/>
    <w:rsid w:val="00B44D9B"/>
    <w:rsid w:val="00B44DD2"/>
    <w:rsid w:val="00B45002"/>
    <w:rsid w:val="00B453C1"/>
    <w:rsid w:val="00B45619"/>
    <w:rsid w:val="00B459C4"/>
    <w:rsid w:val="00B45ED9"/>
    <w:rsid w:val="00B46578"/>
    <w:rsid w:val="00B46DFE"/>
    <w:rsid w:val="00B4740D"/>
    <w:rsid w:val="00B478B9"/>
    <w:rsid w:val="00B47C7A"/>
    <w:rsid w:val="00B47D10"/>
    <w:rsid w:val="00B500AA"/>
    <w:rsid w:val="00B50837"/>
    <w:rsid w:val="00B5154A"/>
    <w:rsid w:val="00B51971"/>
    <w:rsid w:val="00B51B89"/>
    <w:rsid w:val="00B51CF5"/>
    <w:rsid w:val="00B520B2"/>
    <w:rsid w:val="00B52657"/>
    <w:rsid w:val="00B5394B"/>
    <w:rsid w:val="00B53AA7"/>
    <w:rsid w:val="00B53D64"/>
    <w:rsid w:val="00B53E25"/>
    <w:rsid w:val="00B542CC"/>
    <w:rsid w:val="00B55D9F"/>
    <w:rsid w:val="00B55F28"/>
    <w:rsid w:val="00B56504"/>
    <w:rsid w:val="00B5656B"/>
    <w:rsid w:val="00B5659F"/>
    <w:rsid w:val="00B568C7"/>
    <w:rsid w:val="00B56917"/>
    <w:rsid w:val="00B569B4"/>
    <w:rsid w:val="00B57A13"/>
    <w:rsid w:val="00B57FFD"/>
    <w:rsid w:val="00B60395"/>
    <w:rsid w:val="00B6093B"/>
    <w:rsid w:val="00B60FEC"/>
    <w:rsid w:val="00B6127F"/>
    <w:rsid w:val="00B61C00"/>
    <w:rsid w:val="00B62371"/>
    <w:rsid w:val="00B627F6"/>
    <w:rsid w:val="00B62978"/>
    <w:rsid w:val="00B62D64"/>
    <w:rsid w:val="00B62F61"/>
    <w:rsid w:val="00B63A17"/>
    <w:rsid w:val="00B64247"/>
    <w:rsid w:val="00B647A5"/>
    <w:rsid w:val="00B64805"/>
    <w:rsid w:val="00B64B13"/>
    <w:rsid w:val="00B64DC5"/>
    <w:rsid w:val="00B64E1E"/>
    <w:rsid w:val="00B64F96"/>
    <w:rsid w:val="00B65147"/>
    <w:rsid w:val="00B65300"/>
    <w:rsid w:val="00B65B25"/>
    <w:rsid w:val="00B66250"/>
    <w:rsid w:val="00B668D2"/>
    <w:rsid w:val="00B66AE1"/>
    <w:rsid w:val="00B67078"/>
    <w:rsid w:val="00B670C5"/>
    <w:rsid w:val="00B700C2"/>
    <w:rsid w:val="00B7014B"/>
    <w:rsid w:val="00B719D6"/>
    <w:rsid w:val="00B71DD0"/>
    <w:rsid w:val="00B71DE7"/>
    <w:rsid w:val="00B72248"/>
    <w:rsid w:val="00B7275A"/>
    <w:rsid w:val="00B72791"/>
    <w:rsid w:val="00B727BF"/>
    <w:rsid w:val="00B73279"/>
    <w:rsid w:val="00B73906"/>
    <w:rsid w:val="00B739CA"/>
    <w:rsid w:val="00B73A9E"/>
    <w:rsid w:val="00B73FC2"/>
    <w:rsid w:val="00B74D1A"/>
    <w:rsid w:val="00B75B82"/>
    <w:rsid w:val="00B760A0"/>
    <w:rsid w:val="00B7618E"/>
    <w:rsid w:val="00B76705"/>
    <w:rsid w:val="00B76EE6"/>
    <w:rsid w:val="00B77619"/>
    <w:rsid w:val="00B77F6C"/>
    <w:rsid w:val="00B80256"/>
    <w:rsid w:val="00B8036E"/>
    <w:rsid w:val="00B808EB"/>
    <w:rsid w:val="00B80BD3"/>
    <w:rsid w:val="00B814CD"/>
    <w:rsid w:val="00B81649"/>
    <w:rsid w:val="00B81747"/>
    <w:rsid w:val="00B81769"/>
    <w:rsid w:val="00B81968"/>
    <w:rsid w:val="00B820D1"/>
    <w:rsid w:val="00B8233D"/>
    <w:rsid w:val="00B82C18"/>
    <w:rsid w:val="00B832BB"/>
    <w:rsid w:val="00B835FC"/>
    <w:rsid w:val="00B8454B"/>
    <w:rsid w:val="00B8607C"/>
    <w:rsid w:val="00B86203"/>
    <w:rsid w:val="00B862A6"/>
    <w:rsid w:val="00B86632"/>
    <w:rsid w:val="00B8676E"/>
    <w:rsid w:val="00B86777"/>
    <w:rsid w:val="00B8697D"/>
    <w:rsid w:val="00B87128"/>
    <w:rsid w:val="00B87822"/>
    <w:rsid w:val="00B87A18"/>
    <w:rsid w:val="00B900A6"/>
    <w:rsid w:val="00B9071D"/>
    <w:rsid w:val="00B90F50"/>
    <w:rsid w:val="00B91BDA"/>
    <w:rsid w:val="00B91CB1"/>
    <w:rsid w:val="00B91DF3"/>
    <w:rsid w:val="00B91E97"/>
    <w:rsid w:val="00B91FE2"/>
    <w:rsid w:val="00B920B4"/>
    <w:rsid w:val="00B92C09"/>
    <w:rsid w:val="00B92EBF"/>
    <w:rsid w:val="00B932A3"/>
    <w:rsid w:val="00B93702"/>
    <w:rsid w:val="00B9386F"/>
    <w:rsid w:val="00B939B7"/>
    <w:rsid w:val="00B93BEC"/>
    <w:rsid w:val="00B9408C"/>
    <w:rsid w:val="00B941E8"/>
    <w:rsid w:val="00B942F7"/>
    <w:rsid w:val="00B953DE"/>
    <w:rsid w:val="00B954F1"/>
    <w:rsid w:val="00B959B2"/>
    <w:rsid w:val="00B959D0"/>
    <w:rsid w:val="00B959E9"/>
    <w:rsid w:val="00B95B28"/>
    <w:rsid w:val="00B95E56"/>
    <w:rsid w:val="00B95ECD"/>
    <w:rsid w:val="00B961CC"/>
    <w:rsid w:val="00B967F4"/>
    <w:rsid w:val="00B96955"/>
    <w:rsid w:val="00B96D33"/>
    <w:rsid w:val="00B97427"/>
    <w:rsid w:val="00B97594"/>
    <w:rsid w:val="00B976EB"/>
    <w:rsid w:val="00B97B0F"/>
    <w:rsid w:val="00B97B25"/>
    <w:rsid w:val="00B97C33"/>
    <w:rsid w:val="00BA034D"/>
    <w:rsid w:val="00BA0738"/>
    <w:rsid w:val="00BA0F54"/>
    <w:rsid w:val="00BA0FC2"/>
    <w:rsid w:val="00BA1AAD"/>
    <w:rsid w:val="00BA21CF"/>
    <w:rsid w:val="00BA2696"/>
    <w:rsid w:val="00BA2D73"/>
    <w:rsid w:val="00BA35A8"/>
    <w:rsid w:val="00BA39DC"/>
    <w:rsid w:val="00BA3A69"/>
    <w:rsid w:val="00BA4182"/>
    <w:rsid w:val="00BA4338"/>
    <w:rsid w:val="00BA458B"/>
    <w:rsid w:val="00BA4968"/>
    <w:rsid w:val="00BA4A96"/>
    <w:rsid w:val="00BA4EE8"/>
    <w:rsid w:val="00BA534A"/>
    <w:rsid w:val="00BA5560"/>
    <w:rsid w:val="00BA5629"/>
    <w:rsid w:val="00BA5A83"/>
    <w:rsid w:val="00BA67A4"/>
    <w:rsid w:val="00BA6FCF"/>
    <w:rsid w:val="00BA72C8"/>
    <w:rsid w:val="00BA773B"/>
    <w:rsid w:val="00BB054C"/>
    <w:rsid w:val="00BB057B"/>
    <w:rsid w:val="00BB0783"/>
    <w:rsid w:val="00BB07BC"/>
    <w:rsid w:val="00BB07C5"/>
    <w:rsid w:val="00BB141B"/>
    <w:rsid w:val="00BB1519"/>
    <w:rsid w:val="00BB16F3"/>
    <w:rsid w:val="00BB1A1D"/>
    <w:rsid w:val="00BB1AA8"/>
    <w:rsid w:val="00BB1C0F"/>
    <w:rsid w:val="00BB1F02"/>
    <w:rsid w:val="00BB2403"/>
    <w:rsid w:val="00BB2581"/>
    <w:rsid w:val="00BB2B96"/>
    <w:rsid w:val="00BB2C9C"/>
    <w:rsid w:val="00BB3173"/>
    <w:rsid w:val="00BB327C"/>
    <w:rsid w:val="00BB363C"/>
    <w:rsid w:val="00BB36E6"/>
    <w:rsid w:val="00BB3ECD"/>
    <w:rsid w:val="00BB4334"/>
    <w:rsid w:val="00BB484B"/>
    <w:rsid w:val="00BB48E2"/>
    <w:rsid w:val="00BB4C96"/>
    <w:rsid w:val="00BB4CF0"/>
    <w:rsid w:val="00BB56C7"/>
    <w:rsid w:val="00BB5888"/>
    <w:rsid w:val="00BB58AE"/>
    <w:rsid w:val="00BB5FD0"/>
    <w:rsid w:val="00BB6AC9"/>
    <w:rsid w:val="00BB6D91"/>
    <w:rsid w:val="00BB710B"/>
    <w:rsid w:val="00BB7456"/>
    <w:rsid w:val="00BB7497"/>
    <w:rsid w:val="00BB7B6C"/>
    <w:rsid w:val="00BC04A2"/>
    <w:rsid w:val="00BC057E"/>
    <w:rsid w:val="00BC0649"/>
    <w:rsid w:val="00BC065E"/>
    <w:rsid w:val="00BC1394"/>
    <w:rsid w:val="00BC14EC"/>
    <w:rsid w:val="00BC1C55"/>
    <w:rsid w:val="00BC1FAA"/>
    <w:rsid w:val="00BC202B"/>
    <w:rsid w:val="00BC215A"/>
    <w:rsid w:val="00BC2934"/>
    <w:rsid w:val="00BC2D06"/>
    <w:rsid w:val="00BC32E3"/>
    <w:rsid w:val="00BC383A"/>
    <w:rsid w:val="00BC3B6A"/>
    <w:rsid w:val="00BC3EE0"/>
    <w:rsid w:val="00BC42CE"/>
    <w:rsid w:val="00BC472C"/>
    <w:rsid w:val="00BC48EE"/>
    <w:rsid w:val="00BC4914"/>
    <w:rsid w:val="00BC4E2E"/>
    <w:rsid w:val="00BC4F37"/>
    <w:rsid w:val="00BC4F8C"/>
    <w:rsid w:val="00BC527C"/>
    <w:rsid w:val="00BC53B2"/>
    <w:rsid w:val="00BC5486"/>
    <w:rsid w:val="00BC558E"/>
    <w:rsid w:val="00BC5B69"/>
    <w:rsid w:val="00BC651F"/>
    <w:rsid w:val="00BC6BAB"/>
    <w:rsid w:val="00BC6D35"/>
    <w:rsid w:val="00BC7095"/>
    <w:rsid w:val="00BC7604"/>
    <w:rsid w:val="00BC7B88"/>
    <w:rsid w:val="00BD0357"/>
    <w:rsid w:val="00BD121A"/>
    <w:rsid w:val="00BD18E2"/>
    <w:rsid w:val="00BD1AF9"/>
    <w:rsid w:val="00BD1E15"/>
    <w:rsid w:val="00BD26AA"/>
    <w:rsid w:val="00BD3186"/>
    <w:rsid w:val="00BD31EC"/>
    <w:rsid w:val="00BD33CC"/>
    <w:rsid w:val="00BD37AB"/>
    <w:rsid w:val="00BD3CF0"/>
    <w:rsid w:val="00BD43AF"/>
    <w:rsid w:val="00BD4783"/>
    <w:rsid w:val="00BD4C53"/>
    <w:rsid w:val="00BD4E66"/>
    <w:rsid w:val="00BD5121"/>
    <w:rsid w:val="00BD544F"/>
    <w:rsid w:val="00BD58C4"/>
    <w:rsid w:val="00BD5EE7"/>
    <w:rsid w:val="00BD6F2C"/>
    <w:rsid w:val="00BD6F6D"/>
    <w:rsid w:val="00BD72BD"/>
    <w:rsid w:val="00BD72F3"/>
    <w:rsid w:val="00BD7578"/>
    <w:rsid w:val="00BD75E5"/>
    <w:rsid w:val="00BD767F"/>
    <w:rsid w:val="00BD79A9"/>
    <w:rsid w:val="00BD7A99"/>
    <w:rsid w:val="00BD7C5B"/>
    <w:rsid w:val="00BE00E4"/>
    <w:rsid w:val="00BE015C"/>
    <w:rsid w:val="00BE01FB"/>
    <w:rsid w:val="00BE027E"/>
    <w:rsid w:val="00BE02B4"/>
    <w:rsid w:val="00BE0DDC"/>
    <w:rsid w:val="00BE1F3D"/>
    <w:rsid w:val="00BE210C"/>
    <w:rsid w:val="00BE2116"/>
    <w:rsid w:val="00BE2337"/>
    <w:rsid w:val="00BE259B"/>
    <w:rsid w:val="00BE25B2"/>
    <w:rsid w:val="00BE2628"/>
    <w:rsid w:val="00BE2723"/>
    <w:rsid w:val="00BE27B5"/>
    <w:rsid w:val="00BE2AE8"/>
    <w:rsid w:val="00BE3BD4"/>
    <w:rsid w:val="00BE44BE"/>
    <w:rsid w:val="00BE4B7D"/>
    <w:rsid w:val="00BE4CBF"/>
    <w:rsid w:val="00BE5EC5"/>
    <w:rsid w:val="00BE60DB"/>
    <w:rsid w:val="00BE650A"/>
    <w:rsid w:val="00BE667D"/>
    <w:rsid w:val="00BE700C"/>
    <w:rsid w:val="00BE7034"/>
    <w:rsid w:val="00BE7694"/>
    <w:rsid w:val="00BE7942"/>
    <w:rsid w:val="00BE7AE8"/>
    <w:rsid w:val="00BE7E57"/>
    <w:rsid w:val="00BF02A9"/>
    <w:rsid w:val="00BF0CAE"/>
    <w:rsid w:val="00BF0CCA"/>
    <w:rsid w:val="00BF0FE9"/>
    <w:rsid w:val="00BF1540"/>
    <w:rsid w:val="00BF1A0B"/>
    <w:rsid w:val="00BF1C36"/>
    <w:rsid w:val="00BF236B"/>
    <w:rsid w:val="00BF28CE"/>
    <w:rsid w:val="00BF2C5F"/>
    <w:rsid w:val="00BF2EE8"/>
    <w:rsid w:val="00BF31AE"/>
    <w:rsid w:val="00BF31B0"/>
    <w:rsid w:val="00BF3462"/>
    <w:rsid w:val="00BF3690"/>
    <w:rsid w:val="00BF3886"/>
    <w:rsid w:val="00BF3A24"/>
    <w:rsid w:val="00BF3AF6"/>
    <w:rsid w:val="00BF3CC7"/>
    <w:rsid w:val="00BF44DD"/>
    <w:rsid w:val="00BF44F1"/>
    <w:rsid w:val="00BF4877"/>
    <w:rsid w:val="00BF5078"/>
    <w:rsid w:val="00BF5565"/>
    <w:rsid w:val="00BF57CA"/>
    <w:rsid w:val="00BF5B2D"/>
    <w:rsid w:val="00BF657A"/>
    <w:rsid w:val="00BF686C"/>
    <w:rsid w:val="00BF6948"/>
    <w:rsid w:val="00BF6E0F"/>
    <w:rsid w:val="00BF6F9B"/>
    <w:rsid w:val="00BF7219"/>
    <w:rsid w:val="00BF7538"/>
    <w:rsid w:val="00BF7FF4"/>
    <w:rsid w:val="00C00806"/>
    <w:rsid w:val="00C0082B"/>
    <w:rsid w:val="00C00B08"/>
    <w:rsid w:val="00C00C2F"/>
    <w:rsid w:val="00C01C42"/>
    <w:rsid w:val="00C026AF"/>
    <w:rsid w:val="00C02796"/>
    <w:rsid w:val="00C028DD"/>
    <w:rsid w:val="00C02E76"/>
    <w:rsid w:val="00C033D4"/>
    <w:rsid w:val="00C03694"/>
    <w:rsid w:val="00C03BA5"/>
    <w:rsid w:val="00C03D0A"/>
    <w:rsid w:val="00C04045"/>
    <w:rsid w:val="00C040F8"/>
    <w:rsid w:val="00C042E9"/>
    <w:rsid w:val="00C045FD"/>
    <w:rsid w:val="00C04732"/>
    <w:rsid w:val="00C04A35"/>
    <w:rsid w:val="00C055EA"/>
    <w:rsid w:val="00C0581E"/>
    <w:rsid w:val="00C06B89"/>
    <w:rsid w:val="00C06F02"/>
    <w:rsid w:val="00C07826"/>
    <w:rsid w:val="00C078EB"/>
    <w:rsid w:val="00C07B53"/>
    <w:rsid w:val="00C10188"/>
    <w:rsid w:val="00C10BDB"/>
    <w:rsid w:val="00C10FE0"/>
    <w:rsid w:val="00C11281"/>
    <w:rsid w:val="00C11521"/>
    <w:rsid w:val="00C11B6F"/>
    <w:rsid w:val="00C11F61"/>
    <w:rsid w:val="00C12536"/>
    <w:rsid w:val="00C125BD"/>
    <w:rsid w:val="00C1353F"/>
    <w:rsid w:val="00C137CD"/>
    <w:rsid w:val="00C13FC5"/>
    <w:rsid w:val="00C14218"/>
    <w:rsid w:val="00C1524C"/>
    <w:rsid w:val="00C156E7"/>
    <w:rsid w:val="00C1588F"/>
    <w:rsid w:val="00C1651D"/>
    <w:rsid w:val="00C16B84"/>
    <w:rsid w:val="00C16C6D"/>
    <w:rsid w:val="00C17A33"/>
    <w:rsid w:val="00C17D01"/>
    <w:rsid w:val="00C17FED"/>
    <w:rsid w:val="00C204CC"/>
    <w:rsid w:val="00C20874"/>
    <w:rsid w:val="00C209CD"/>
    <w:rsid w:val="00C20D50"/>
    <w:rsid w:val="00C210A6"/>
    <w:rsid w:val="00C2120A"/>
    <w:rsid w:val="00C21246"/>
    <w:rsid w:val="00C2175A"/>
    <w:rsid w:val="00C2184C"/>
    <w:rsid w:val="00C21FBD"/>
    <w:rsid w:val="00C22084"/>
    <w:rsid w:val="00C223DB"/>
    <w:rsid w:val="00C228F6"/>
    <w:rsid w:val="00C22B3C"/>
    <w:rsid w:val="00C22BD8"/>
    <w:rsid w:val="00C22CE3"/>
    <w:rsid w:val="00C22E4F"/>
    <w:rsid w:val="00C23155"/>
    <w:rsid w:val="00C234C1"/>
    <w:rsid w:val="00C23593"/>
    <w:rsid w:val="00C23B61"/>
    <w:rsid w:val="00C24848"/>
    <w:rsid w:val="00C248E5"/>
    <w:rsid w:val="00C25252"/>
    <w:rsid w:val="00C25493"/>
    <w:rsid w:val="00C261BD"/>
    <w:rsid w:val="00C2658D"/>
    <w:rsid w:val="00C26753"/>
    <w:rsid w:val="00C27F7C"/>
    <w:rsid w:val="00C3006B"/>
    <w:rsid w:val="00C3043B"/>
    <w:rsid w:val="00C3080A"/>
    <w:rsid w:val="00C30BBB"/>
    <w:rsid w:val="00C31190"/>
    <w:rsid w:val="00C31513"/>
    <w:rsid w:val="00C3151D"/>
    <w:rsid w:val="00C31540"/>
    <w:rsid w:val="00C31D36"/>
    <w:rsid w:val="00C320FF"/>
    <w:rsid w:val="00C32B6E"/>
    <w:rsid w:val="00C33095"/>
    <w:rsid w:val="00C332E0"/>
    <w:rsid w:val="00C33C21"/>
    <w:rsid w:val="00C33EFF"/>
    <w:rsid w:val="00C34295"/>
    <w:rsid w:val="00C34646"/>
    <w:rsid w:val="00C34F88"/>
    <w:rsid w:val="00C34FCA"/>
    <w:rsid w:val="00C357B0"/>
    <w:rsid w:val="00C3588E"/>
    <w:rsid w:val="00C35932"/>
    <w:rsid w:val="00C35C10"/>
    <w:rsid w:val="00C3603C"/>
    <w:rsid w:val="00C36040"/>
    <w:rsid w:val="00C36708"/>
    <w:rsid w:val="00C36BA3"/>
    <w:rsid w:val="00C36EEE"/>
    <w:rsid w:val="00C36EFC"/>
    <w:rsid w:val="00C37359"/>
    <w:rsid w:val="00C37A3F"/>
    <w:rsid w:val="00C37C60"/>
    <w:rsid w:val="00C37F96"/>
    <w:rsid w:val="00C4014F"/>
    <w:rsid w:val="00C40571"/>
    <w:rsid w:val="00C410B9"/>
    <w:rsid w:val="00C4115B"/>
    <w:rsid w:val="00C418B7"/>
    <w:rsid w:val="00C426BD"/>
    <w:rsid w:val="00C42823"/>
    <w:rsid w:val="00C42B50"/>
    <w:rsid w:val="00C42FE8"/>
    <w:rsid w:val="00C433CF"/>
    <w:rsid w:val="00C43714"/>
    <w:rsid w:val="00C439BF"/>
    <w:rsid w:val="00C43AA2"/>
    <w:rsid w:val="00C440A6"/>
    <w:rsid w:val="00C44482"/>
    <w:rsid w:val="00C44522"/>
    <w:rsid w:val="00C44810"/>
    <w:rsid w:val="00C44E4A"/>
    <w:rsid w:val="00C45B6F"/>
    <w:rsid w:val="00C46A1A"/>
    <w:rsid w:val="00C46BC8"/>
    <w:rsid w:val="00C477FB"/>
    <w:rsid w:val="00C505C5"/>
    <w:rsid w:val="00C50711"/>
    <w:rsid w:val="00C507C1"/>
    <w:rsid w:val="00C50E67"/>
    <w:rsid w:val="00C5125C"/>
    <w:rsid w:val="00C513AA"/>
    <w:rsid w:val="00C5168B"/>
    <w:rsid w:val="00C51998"/>
    <w:rsid w:val="00C519FB"/>
    <w:rsid w:val="00C51A2D"/>
    <w:rsid w:val="00C51A3B"/>
    <w:rsid w:val="00C5230A"/>
    <w:rsid w:val="00C52583"/>
    <w:rsid w:val="00C52E28"/>
    <w:rsid w:val="00C52F06"/>
    <w:rsid w:val="00C53B05"/>
    <w:rsid w:val="00C53BE3"/>
    <w:rsid w:val="00C540B5"/>
    <w:rsid w:val="00C54667"/>
    <w:rsid w:val="00C547F7"/>
    <w:rsid w:val="00C54929"/>
    <w:rsid w:val="00C55A44"/>
    <w:rsid w:val="00C566C5"/>
    <w:rsid w:val="00C57374"/>
    <w:rsid w:val="00C57480"/>
    <w:rsid w:val="00C5749B"/>
    <w:rsid w:val="00C575B0"/>
    <w:rsid w:val="00C57608"/>
    <w:rsid w:val="00C57749"/>
    <w:rsid w:val="00C57A5B"/>
    <w:rsid w:val="00C57A62"/>
    <w:rsid w:val="00C57AAE"/>
    <w:rsid w:val="00C57D0E"/>
    <w:rsid w:val="00C57FFA"/>
    <w:rsid w:val="00C6005D"/>
    <w:rsid w:val="00C604A5"/>
    <w:rsid w:val="00C60C5E"/>
    <w:rsid w:val="00C60EA5"/>
    <w:rsid w:val="00C60F47"/>
    <w:rsid w:val="00C60F5C"/>
    <w:rsid w:val="00C6165D"/>
    <w:rsid w:val="00C617E0"/>
    <w:rsid w:val="00C6183A"/>
    <w:rsid w:val="00C61999"/>
    <w:rsid w:val="00C61C18"/>
    <w:rsid w:val="00C624AB"/>
    <w:rsid w:val="00C626C7"/>
    <w:rsid w:val="00C628A6"/>
    <w:rsid w:val="00C629C1"/>
    <w:rsid w:val="00C62A29"/>
    <w:rsid w:val="00C6345F"/>
    <w:rsid w:val="00C63C33"/>
    <w:rsid w:val="00C63EB3"/>
    <w:rsid w:val="00C64282"/>
    <w:rsid w:val="00C646A4"/>
    <w:rsid w:val="00C65176"/>
    <w:rsid w:val="00C6648C"/>
    <w:rsid w:val="00C6654E"/>
    <w:rsid w:val="00C66A22"/>
    <w:rsid w:val="00C66F10"/>
    <w:rsid w:val="00C67DD2"/>
    <w:rsid w:val="00C7045F"/>
    <w:rsid w:val="00C70836"/>
    <w:rsid w:val="00C70A44"/>
    <w:rsid w:val="00C70F10"/>
    <w:rsid w:val="00C72579"/>
    <w:rsid w:val="00C72AD7"/>
    <w:rsid w:val="00C72ED8"/>
    <w:rsid w:val="00C7369D"/>
    <w:rsid w:val="00C73952"/>
    <w:rsid w:val="00C73A71"/>
    <w:rsid w:val="00C74007"/>
    <w:rsid w:val="00C741E4"/>
    <w:rsid w:val="00C745C7"/>
    <w:rsid w:val="00C746EE"/>
    <w:rsid w:val="00C74708"/>
    <w:rsid w:val="00C7549C"/>
    <w:rsid w:val="00C755FD"/>
    <w:rsid w:val="00C75C6C"/>
    <w:rsid w:val="00C762B8"/>
    <w:rsid w:val="00C765A3"/>
    <w:rsid w:val="00C76B5A"/>
    <w:rsid w:val="00C77619"/>
    <w:rsid w:val="00C776E6"/>
    <w:rsid w:val="00C77F78"/>
    <w:rsid w:val="00C77F8C"/>
    <w:rsid w:val="00C8006B"/>
    <w:rsid w:val="00C8027D"/>
    <w:rsid w:val="00C80C9C"/>
    <w:rsid w:val="00C8162B"/>
    <w:rsid w:val="00C8170A"/>
    <w:rsid w:val="00C81845"/>
    <w:rsid w:val="00C81A4D"/>
    <w:rsid w:val="00C81FC8"/>
    <w:rsid w:val="00C8233B"/>
    <w:rsid w:val="00C823B6"/>
    <w:rsid w:val="00C828AF"/>
    <w:rsid w:val="00C828F9"/>
    <w:rsid w:val="00C82AA2"/>
    <w:rsid w:val="00C82CA6"/>
    <w:rsid w:val="00C82DEB"/>
    <w:rsid w:val="00C83011"/>
    <w:rsid w:val="00C83791"/>
    <w:rsid w:val="00C83878"/>
    <w:rsid w:val="00C83C85"/>
    <w:rsid w:val="00C83D1B"/>
    <w:rsid w:val="00C84328"/>
    <w:rsid w:val="00C84604"/>
    <w:rsid w:val="00C84A7A"/>
    <w:rsid w:val="00C84E3E"/>
    <w:rsid w:val="00C85227"/>
    <w:rsid w:val="00C855C5"/>
    <w:rsid w:val="00C858BD"/>
    <w:rsid w:val="00C859AB"/>
    <w:rsid w:val="00C85DB5"/>
    <w:rsid w:val="00C85F62"/>
    <w:rsid w:val="00C85FAC"/>
    <w:rsid w:val="00C86997"/>
    <w:rsid w:val="00C869C1"/>
    <w:rsid w:val="00C86C53"/>
    <w:rsid w:val="00C870AC"/>
    <w:rsid w:val="00C8722A"/>
    <w:rsid w:val="00C878C0"/>
    <w:rsid w:val="00C90199"/>
    <w:rsid w:val="00C902BB"/>
    <w:rsid w:val="00C90437"/>
    <w:rsid w:val="00C9108F"/>
    <w:rsid w:val="00C911DD"/>
    <w:rsid w:val="00C91788"/>
    <w:rsid w:val="00C91939"/>
    <w:rsid w:val="00C91969"/>
    <w:rsid w:val="00C91A7E"/>
    <w:rsid w:val="00C91E5C"/>
    <w:rsid w:val="00C92323"/>
    <w:rsid w:val="00C92553"/>
    <w:rsid w:val="00C9297B"/>
    <w:rsid w:val="00C92AFA"/>
    <w:rsid w:val="00C933D5"/>
    <w:rsid w:val="00C934D7"/>
    <w:rsid w:val="00C93775"/>
    <w:rsid w:val="00C93A5B"/>
    <w:rsid w:val="00C93DE7"/>
    <w:rsid w:val="00C94046"/>
    <w:rsid w:val="00C94627"/>
    <w:rsid w:val="00C949F6"/>
    <w:rsid w:val="00C94CE8"/>
    <w:rsid w:val="00C94E75"/>
    <w:rsid w:val="00C94F65"/>
    <w:rsid w:val="00C94FD1"/>
    <w:rsid w:val="00C94FE5"/>
    <w:rsid w:val="00C9527E"/>
    <w:rsid w:val="00C958C4"/>
    <w:rsid w:val="00C95B96"/>
    <w:rsid w:val="00C95BE6"/>
    <w:rsid w:val="00C95CB6"/>
    <w:rsid w:val="00C95EFE"/>
    <w:rsid w:val="00C960D4"/>
    <w:rsid w:val="00C963DB"/>
    <w:rsid w:val="00C9653F"/>
    <w:rsid w:val="00C96543"/>
    <w:rsid w:val="00C96787"/>
    <w:rsid w:val="00C970A7"/>
    <w:rsid w:val="00C970E2"/>
    <w:rsid w:val="00C973BD"/>
    <w:rsid w:val="00C973E8"/>
    <w:rsid w:val="00C97682"/>
    <w:rsid w:val="00C97744"/>
    <w:rsid w:val="00C979AA"/>
    <w:rsid w:val="00C97CB8"/>
    <w:rsid w:val="00CA0373"/>
    <w:rsid w:val="00CA0556"/>
    <w:rsid w:val="00CA12B1"/>
    <w:rsid w:val="00CA152C"/>
    <w:rsid w:val="00CA15B9"/>
    <w:rsid w:val="00CA1836"/>
    <w:rsid w:val="00CA1890"/>
    <w:rsid w:val="00CA1B41"/>
    <w:rsid w:val="00CA1D0E"/>
    <w:rsid w:val="00CA2391"/>
    <w:rsid w:val="00CA243F"/>
    <w:rsid w:val="00CA2CB5"/>
    <w:rsid w:val="00CA3785"/>
    <w:rsid w:val="00CA3865"/>
    <w:rsid w:val="00CA3AC7"/>
    <w:rsid w:val="00CA3AE9"/>
    <w:rsid w:val="00CA45B1"/>
    <w:rsid w:val="00CA476C"/>
    <w:rsid w:val="00CA477C"/>
    <w:rsid w:val="00CA5071"/>
    <w:rsid w:val="00CA521C"/>
    <w:rsid w:val="00CA5343"/>
    <w:rsid w:val="00CA593C"/>
    <w:rsid w:val="00CA5F35"/>
    <w:rsid w:val="00CA5F3B"/>
    <w:rsid w:val="00CA5FBA"/>
    <w:rsid w:val="00CA61B0"/>
    <w:rsid w:val="00CA6CBD"/>
    <w:rsid w:val="00CA6D8C"/>
    <w:rsid w:val="00CA7564"/>
    <w:rsid w:val="00CA75A5"/>
    <w:rsid w:val="00CA7BD4"/>
    <w:rsid w:val="00CB06E3"/>
    <w:rsid w:val="00CB0BD0"/>
    <w:rsid w:val="00CB0D4E"/>
    <w:rsid w:val="00CB1964"/>
    <w:rsid w:val="00CB196E"/>
    <w:rsid w:val="00CB2224"/>
    <w:rsid w:val="00CB231D"/>
    <w:rsid w:val="00CB232A"/>
    <w:rsid w:val="00CB24B1"/>
    <w:rsid w:val="00CB2515"/>
    <w:rsid w:val="00CB33E6"/>
    <w:rsid w:val="00CB39D1"/>
    <w:rsid w:val="00CB3F2C"/>
    <w:rsid w:val="00CB488C"/>
    <w:rsid w:val="00CB5363"/>
    <w:rsid w:val="00CB5704"/>
    <w:rsid w:val="00CB5833"/>
    <w:rsid w:val="00CB5B65"/>
    <w:rsid w:val="00CB602E"/>
    <w:rsid w:val="00CB6163"/>
    <w:rsid w:val="00CB62C3"/>
    <w:rsid w:val="00CB62F3"/>
    <w:rsid w:val="00CB65B6"/>
    <w:rsid w:val="00CB6B29"/>
    <w:rsid w:val="00CB6EA7"/>
    <w:rsid w:val="00CB73D6"/>
    <w:rsid w:val="00CB73E1"/>
    <w:rsid w:val="00CB74BF"/>
    <w:rsid w:val="00CB7B9B"/>
    <w:rsid w:val="00CB7D2D"/>
    <w:rsid w:val="00CB7FA9"/>
    <w:rsid w:val="00CC0F76"/>
    <w:rsid w:val="00CC1183"/>
    <w:rsid w:val="00CC127A"/>
    <w:rsid w:val="00CC391B"/>
    <w:rsid w:val="00CC4DAC"/>
    <w:rsid w:val="00CC51C0"/>
    <w:rsid w:val="00CC5376"/>
    <w:rsid w:val="00CC618D"/>
    <w:rsid w:val="00CC63AB"/>
    <w:rsid w:val="00CC6823"/>
    <w:rsid w:val="00CC6EE1"/>
    <w:rsid w:val="00CC73F5"/>
    <w:rsid w:val="00CC7749"/>
    <w:rsid w:val="00CC788B"/>
    <w:rsid w:val="00CD05E5"/>
    <w:rsid w:val="00CD0F16"/>
    <w:rsid w:val="00CD105D"/>
    <w:rsid w:val="00CD146A"/>
    <w:rsid w:val="00CD16AD"/>
    <w:rsid w:val="00CD1932"/>
    <w:rsid w:val="00CD1A17"/>
    <w:rsid w:val="00CD1B0E"/>
    <w:rsid w:val="00CD2118"/>
    <w:rsid w:val="00CD21B9"/>
    <w:rsid w:val="00CD2254"/>
    <w:rsid w:val="00CD243A"/>
    <w:rsid w:val="00CD2A42"/>
    <w:rsid w:val="00CD2D6C"/>
    <w:rsid w:val="00CD3C9A"/>
    <w:rsid w:val="00CD3EDE"/>
    <w:rsid w:val="00CD438B"/>
    <w:rsid w:val="00CD463D"/>
    <w:rsid w:val="00CD4805"/>
    <w:rsid w:val="00CD5495"/>
    <w:rsid w:val="00CD57FA"/>
    <w:rsid w:val="00CD5A6C"/>
    <w:rsid w:val="00CD5DED"/>
    <w:rsid w:val="00CD6CE1"/>
    <w:rsid w:val="00CD6FAE"/>
    <w:rsid w:val="00CD736D"/>
    <w:rsid w:val="00CD7AC9"/>
    <w:rsid w:val="00CD7AFD"/>
    <w:rsid w:val="00CE00EE"/>
    <w:rsid w:val="00CE01AB"/>
    <w:rsid w:val="00CE02E1"/>
    <w:rsid w:val="00CE05CE"/>
    <w:rsid w:val="00CE099C"/>
    <w:rsid w:val="00CE0A5C"/>
    <w:rsid w:val="00CE0B19"/>
    <w:rsid w:val="00CE0F80"/>
    <w:rsid w:val="00CE122E"/>
    <w:rsid w:val="00CE138E"/>
    <w:rsid w:val="00CE19DE"/>
    <w:rsid w:val="00CE1C45"/>
    <w:rsid w:val="00CE30A1"/>
    <w:rsid w:val="00CE42B3"/>
    <w:rsid w:val="00CE47C5"/>
    <w:rsid w:val="00CE47C8"/>
    <w:rsid w:val="00CE54EB"/>
    <w:rsid w:val="00CE557A"/>
    <w:rsid w:val="00CE5792"/>
    <w:rsid w:val="00CE5839"/>
    <w:rsid w:val="00CE641A"/>
    <w:rsid w:val="00CE6623"/>
    <w:rsid w:val="00CE69E9"/>
    <w:rsid w:val="00CE6A62"/>
    <w:rsid w:val="00CE6B05"/>
    <w:rsid w:val="00CE6CB3"/>
    <w:rsid w:val="00CE6FC7"/>
    <w:rsid w:val="00CE7826"/>
    <w:rsid w:val="00CE79ED"/>
    <w:rsid w:val="00CE7CF0"/>
    <w:rsid w:val="00CE7FDD"/>
    <w:rsid w:val="00CF01AE"/>
    <w:rsid w:val="00CF03CF"/>
    <w:rsid w:val="00CF0B9D"/>
    <w:rsid w:val="00CF0DBF"/>
    <w:rsid w:val="00CF0EFD"/>
    <w:rsid w:val="00CF151E"/>
    <w:rsid w:val="00CF2513"/>
    <w:rsid w:val="00CF2619"/>
    <w:rsid w:val="00CF2849"/>
    <w:rsid w:val="00CF2900"/>
    <w:rsid w:val="00CF2B9C"/>
    <w:rsid w:val="00CF3520"/>
    <w:rsid w:val="00CF354E"/>
    <w:rsid w:val="00CF38FC"/>
    <w:rsid w:val="00CF3A73"/>
    <w:rsid w:val="00CF3D57"/>
    <w:rsid w:val="00CF4099"/>
    <w:rsid w:val="00CF450B"/>
    <w:rsid w:val="00CF4A94"/>
    <w:rsid w:val="00CF4BA1"/>
    <w:rsid w:val="00CF4D30"/>
    <w:rsid w:val="00CF4FB1"/>
    <w:rsid w:val="00CF5118"/>
    <w:rsid w:val="00CF53F0"/>
    <w:rsid w:val="00CF5A3E"/>
    <w:rsid w:val="00CF5A55"/>
    <w:rsid w:val="00CF5D3B"/>
    <w:rsid w:val="00CF5DD1"/>
    <w:rsid w:val="00CF6719"/>
    <w:rsid w:val="00CF717A"/>
    <w:rsid w:val="00CF73EE"/>
    <w:rsid w:val="00CF75BF"/>
    <w:rsid w:val="00CF7E85"/>
    <w:rsid w:val="00D009EC"/>
    <w:rsid w:val="00D00C8B"/>
    <w:rsid w:val="00D01469"/>
    <w:rsid w:val="00D01B37"/>
    <w:rsid w:val="00D02ADF"/>
    <w:rsid w:val="00D02B0C"/>
    <w:rsid w:val="00D03CBD"/>
    <w:rsid w:val="00D041B3"/>
    <w:rsid w:val="00D0425E"/>
    <w:rsid w:val="00D04295"/>
    <w:rsid w:val="00D0438C"/>
    <w:rsid w:val="00D04A16"/>
    <w:rsid w:val="00D0544E"/>
    <w:rsid w:val="00D055AD"/>
    <w:rsid w:val="00D05A33"/>
    <w:rsid w:val="00D05E94"/>
    <w:rsid w:val="00D05F42"/>
    <w:rsid w:val="00D061BA"/>
    <w:rsid w:val="00D06CAC"/>
    <w:rsid w:val="00D06CD9"/>
    <w:rsid w:val="00D06E0D"/>
    <w:rsid w:val="00D07531"/>
    <w:rsid w:val="00D0763D"/>
    <w:rsid w:val="00D07AC4"/>
    <w:rsid w:val="00D07C4E"/>
    <w:rsid w:val="00D10462"/>
    <w:rsid w:val="00D104FC"/>
    <w:rsid w:val="00D106BE"/>
    <w:rsid w:val="00D10E6C"/>
    <w:rsid w:val="00D11F95"/>
    <w:rsid w:val="00D12270"/>
    <w:rsid w:val="00D13583"/>
    <w:rsid w:val="00D14705"/>
    <w:rsid w:val="00D1473D"/>
    <w:rsid w:val="00D150F9"/>
    <w:rsid w:val="00D15DCC"/>
    <w:rsid w:val="00D1679C"/>
    <w:rsid w:val="00D16D0C"/>
    <w:rsid w:val="00D170CA"/>
    <w:rsid w:val="00D175D3"/>
    <w:rsid w:val="00D178BB"/>
    <w:rsid w:val="00D17BE1"/>
    <w:rsid w:val="00D17E6F"/>
    <w:rsid w:val="00D20519"/>
    <w:rsid w:val="00D20689"/>
    <w:rsid w:val="00D209F4"/>
    <w:rsid w:val="00D21193"/>
    <w:rsid w:val="00D21B70"/>
    <w:rsid w:val="00D21F60"/>
    <w:rsid w:val="00D221AC"/>
    <w:rsid w:val="00D223AB"/>
    <w:rsid w:val="00D22675"/>
    <w:rsid w:val="00D228AF"/>
    <w:rsid w:val="00D228B7"/>
    <w:rsid w:val="00D2360B"/>
    <w:rsid w:val="00D23CED"/>
    <w:rsid w:val="00D23E11"/>
    <w:rsid w:val="00D24937"/>
    <w:rsid w:val="00D259C9"/>
    <w:rsid w:val="00D25AD9"/>
    <w:rsid w:val="00D25F4D"/>
    <w:rsid w:val="00D2690D"/>
    <w:rsid w:val="00D271EA"/>
    <w:rsid w:val="00D27272"/>
    <w:rsid w:val="00D27339"/>
    <w:rsid w:val="00D27C1E"/>
    <w:rsid w:val="00D27DE4"/>
    <w:rsid w:val="00D27F9C"/>
    <w:rsid w:val="00D30049"/>
    <w:rsid w:val="00D30112"/>
    <w:rsid w:val="00D3058F"/>
    <w:rsid w:val="00D31402"/>
    <w:rsid w:val="00D317FC"/>
    <w:rsid w:val="00D31BB9"/>
    <w:rsid w:val="00D32989"/>
    <w:rsid w:val="00D332C0"/>
    <w:rsid w:val="00D33589"/>
    <w:rsid w:val="00D33A7E"/>
    <w:rsid w:val="00D33B35"/>
    <w:rsid w:val="00D33E98"/>
    <w:rsid w:val="00D34010"/>
    <w:rsid w:val="00D3519C"/>
    <w:rsid w:val="00D35645"/>
    <w:rsid w:val="00D356FF"/>
    <w:rsid w:val="00D359C6"/>
    <w:rsid w:val="00D359F6"/>
    <w:rsid w:val="00D3611E"/>
    <w:rsid w:val="00D364DC"/>
    <w:rsid w:val="00D36587"/>
    <w:rsid w:val="00D36F6E"/>
    <w:rsid w:val="00D36FE7"/>
    <w:rsid w:val="00D370CF"/>
    <w:rsid w:val="00D4012A"/>
    <w:rsid w:val="00D40DDB"/>
    <w:rsid w:val="00D42131"/>
    <w:rsid w:val="00D42B57"/>
    <w:rsid w:val="00D42BE9"/>
    <w:rsid w:val="00D42C9B"/>
    <w:rsid w:val="00D42D93"/>
    <w:rsid w:val="00D43420"/>
    <w:rsid w:val="00D434CF"/>
    <w:rsid w:val="00D43758"/>
    <w:rsid w:val="00D4436A"/>
    <w:rsid w:val="00D44712"/>
    <w:rsid w:val="00D452D3"/>
    <w:rsid w:val="00D455DD"/>
    <w:rsid w:val="00D459B3"/>
    <w:rsid w:val="00D45CAA"/>
    <w:rsid w:val="00D46A55"/>
    <w:rsid w:val="00D4743E"/>
    <w:rsid w:val="00D4760C"/>
    <w:rsid w:val="00D47624"/>
    <w:rsid w:val="00D50513"/>
    <w:rsid w:val="00D50CE4"/>
    <w:rsid w:val="00D50FF6"/>
    <w:rsid w:val="00D511AE"/>
    <w:rsid w:val="00D51365"/>
    <w:rsid w:val="00D517C6"/>
    <w:rsid w:val="00D51C6C"/>
    <w:rsid w:val="00D52727"/>
    <w:rsid w:val="00D534DC"/>
    <w:rsid w:val="00D53BEC"/>
    <w:rsid w:val="00D5493B"/>
    <w:rsid w:val="00D54C2C"/>
    <w:rsid w:val="00D55782"/>
    <w:rsid w:val="00D55925"/>
    <w:rsid w:val="00D559A3"/>
    <w:rsid w:val="00D55AF2"/>
    <w:rsid w:val="00D55B9B"/>
    <w:rsid w:val="00D55BD3"/>
    <w:rsid w:val="00D560DF"/>
    <w:rsid w:val="00D56154"/>
    <w:rsid w:val="00D569D6"/>
    <w:rsid w:val="00D56B15"/>
    <w:rsid w:val="00D572A0"/>
    <w:rsid w:val="00D57BD4"/>
    <w:rsid w:val="00D61181"/>
    <w:rsid w:val="00D613B1"/>
    <w:rsid w:val="00D61616"/>
    <w:rsid w:val="00D617CB"/>
    <w:rsid w:val="00D6184E"/>
    <w:rsid w:val="00D6185B"/>
    <w:rsid w:val="00D6193C"/>
    <w:rsid w:val="00D619AB"/>
    <w:rsid w:val="00D61BE8"/>
    <w:rsid w:val="00D620EC"/>
    <w:rsid w:val="00D6219F"/>
    <w:rsid w:val="00D6274A"/>
    <w:rsid w:val="00D62897"/>
    <w:rsid w:val="00D62B6F"/>
    <w:rsid w:val="00D6344C"/>
    <w:rsid w:val="00D6357A"/>
    <w:rsid w:val="00D6384B"/>
    <w:rsid w:val="00D640E5"/>
    <w:rsid w:val="00D643B5"/>
    <w:rsid w:val="00D647F7"/>
    <w:rsid w:val="00D64C58"/>
    <w:rsid w:val="00D65469"/>
    <w:rsid w:val="00D65DB5"/>
    <w:rsid w:val="00D65DEE"/>
    <w:rsid w:val="00D66809"/>
    <w:rsid w:val="00D6687A"/>
    <w:rsid w:val="00D672B3"/>
    <w:rsid w:val="00D67378"/>
    <w:rsid w:val="00D675BE"/>
    <w:rsid w:val="00D70F15"/>
    <w:rsid w:val="00D71293"/>
    <w:rsid w:val="00D71C58"/>
    <w:rsid w:val="00D71DD4"/>
    <w:rsid w:val="00D7203D"/>
    <w:rsid w:val="00D722D5"/>
    <w:rsid w:val="00D72749"/>
    <w:rsid w:val="00D7278E"/>
    <w:rsid w:val="00D72B09"/>
    <w:rsid w:val="00D72C5A"/>
    <w:rsid w:val="00D72E61"/>
    <w:rsid w:val="00D72FA6"/>
    <w:rsid w:val="00D732C3"/>
    <w:rsid w:val="00D73952"/>
    <w:rsid w:val="00D73FA2"/>
    <w:rsid w:val="00D747F9"/>
    <w:rsid w:val="00D75080"/>
    <w:rsid w:val="00D753A9"/>
    <w:rsid w:val="00D75810"/>
    <w:rsid w:val="00D75D7A"/>
    <w:rsid w:val="00D7603F"/>
    <w:rsid w:val="00D76585"/>
    <w:rsid w:val="00D76763"/>
    <w:rsid w:val="00D76B74"/>
    <w:rsid w:val="00D76B84"/>
    <w:rsid w:val="00D76DF8"/>
    <w:rsid w:val="00D773E0"/>
    <w:rsid w:val="00D77BC1"/>
    <w:rsid w:val="00D8035C"/>
    <w:rsid w:val="00D80EB5"/>
    <w:rsid w:val="00D81041"/>
    <w:rsid w:val="00D811B0"/>
    <w:rsid w:val="00D81200"/>
    <w:rsid w:val="00D813CB"/>
    <w:rsid w:val="00D81A1D"/>
    <w:rsid w:val="00D81C5C"/>
    <w:rsid w:val="00D82838"/>
    <w:rsid w:val="00D82B22"/>
    <w:rsid w:val="00D82F46"/>
    <w:rsid w:val="00D830E1"/>
    <w:rsid w:val="00D83A90"/>
    <w:rsid w:val="00D842AA"/>
    <w:rsid w:val="00D845D8"/>
    <w:rsid w:val="00D846BE"/>
    <w:rsid w:val="00D848C0"/>
    <w:rsid w:val="00D84DF9"/>
    <w:rsid w:val="00D85293"/>
    <w:rsid w:val="00D852E2"/>
    <w:rsid w:val="00D85809"/>
    <w:rsid w:val="00D85EB4"/>
    <w:rsid w:val="00D865EC"/>
    <w:rsid w:val="00D86977"/>
    <w:rsid w:val="00D87258"/>
    <w:rsid w:val="00D874EF"/>
    <w:rsid w:val="00D877B6"/>
    <w:rsid w:val="00D879D4"/>
    <w:rsid w:val="00D91CE2"/>
    <w:rsid w:val="00D92ECE"/>
    <w:rsid w:val="00D93212"/>
    <w:rsid w:val="00D93870"/>
    <w:rsid w:val="00D939A8"/>
    <w:rsid w:val="00D94043"/>
    <w:rsid w:val="00D940A1"/>
    <w:rsid w:val="00D9490C"/>
    <w:rsid w:val="00D94A6F"/>
    <w:rsid w:val="00D94DBF"/>
    <w:rsid w:val="00D951EB"/>
    <w:rsid w:val="00D954E0"/>
    <w:rsid w:val="00D95581"/>
    <w:rsid w:val="00D9583E"/>
    <w:rsid w:val="00D960F5"/>
    <w:rsid w:val="00D96B17"/>
    <w:rsid w:val="00D96D60"/>
    <w:rsid w:val="00D96DAF"/>
    <w:rsid w:val="00D96EAC"/>
    <w:rsid w:val="00D97396"/>
    <w:rsid w:val="00D97C40"/>
    <w:rsid w:val="00DA005A"/>
    <w:rsid w:val="00DA0563"/>
    <w:rsid w:val="00DA0F07"/>
    <w:rsid w:val="00DA13C1"/>
    <w:rsid w:val="00DA1535"/>
    <w:rsid w:val="00DA171E"/>
    <w:rsid w:val="00DA1B4E"/>
    <w:rsid w:val="00DA1CBC"/>
    <w:rsid w:val="00DA2534"/>
    <w:rsid w:val="00DA27EA"/>
    <w:rsid w:val="00DA35D1"/>
    <w:rsid w:val="00DA39B4"/>
    <w:rsid w:val="00DA3EEA"/>
    <w:rsid w:val="00DA3FE3"/>
    <w:rsid w:val="00DA41C8"/>
    <w:rsid w:val="00DA4848"/>
    <w:rsid w:val="00DA4B5A"/>
    <w:rsid w:val="00DA55A1"/>
    <w:rsid w:val="00DA5831"/>
    <w:rsid w:val="00DA5B0A"/>
    <w:rsid w:val="00DA5B2E"/>
    <w:rsid w:val="00DA5C12"/>
    <w:rsid w:val="00DA5FAF"/>
    <w:rsid w:val="00DA6C53"/>
    <w:rsid w:val="00DA70CE"/>
    <w:rsid w:val="00DA7314"/>
    <w:rsid w:val="00DA7C7B"/>
    <w:rsid w:val="00DA7CDB"/>
    <w:rsid w:val="00DA7EE9"/>
    <w:rsid w:val="00DA7F7E"/>
    <w:rsid w:val="00DB074F"/>
    <w:rsid w:val="00DB0C12"/>
    <w:rsid w:val="00DB1360"/>
    <w:rsid w:val="00DB13F6"/>
    <w:rsid w:val="00DB1649"/>
    <w:rsid w:val="00DB1950"/>
    <w:rsid w:val="00DB1B7E"/>
    <w:rsid w:val="00DB1CD7"/>
    <w:rsid w:val="00DB1ED0"/>
    <w:rsid w:val="00DB2377"/>
    <w:rsid w:val="00DB25AD"/>
    <w:rsid w:val="00DB262D"/>
    <w:rsid w:val="00DB26AD"/>
    <w:rsid w:val="00DB2F19"/>
    <w:rsid w:val="00DB3436"/>
    <w:rsid w:val="00DB366E"/>
    <w:rsid w:val="00DB3B5B"/>
    <w:rsid w:val="00DB404F"/>
    <w:rsid w:val="00DB43F1"/>
    <w:rsid w:val="00DB45F9"/>
    <w:rsid w:val="00DB4638"/>
    <w:rsid w:val="00DB47AD"/>
    <w:rsid w:val="00DB47CE"/>
    <w:rsid w:val="00DB4AAA"/>
    <w:rsid w:val="00DB4B59"/>
    <w:rsid w:val="00DB4CFE"/>
    <w:rsid w:val="00DB4EAC"/>
    <w:rsid w:val="00DB5BAE"/>
    <w:rsid w:val="00DB5C38"/>
    <w:rsid w:val="00DB671E"/>
    <w:rsid w:val="00DB6A8F"/>
    <w:rsid w:val="00DB6D0C"/>
    <w:rsid w:val="00DB712D"/>
    <w:rsid w:val="00DB7430"/>
    <w:rsid w:val="00DB7754"/>
    <w:rsid w:val="00DB7956"/>
    <w:rsid w:val="00DC00CD"/>
    <w:rsid w:val="00DC025E"/>
    <w:rsid w:val="00DC02DE"/>
    <w:rsid w:val="00DC0356"/>
    <w:rsid w:val="00DC055D"/>
    <w:rsid w:val="00DC05B9"/>
    <w:rsid w:val="00DC05DA"/>
    <w:rsid w:val="00DC05E1"/>
    <w:rsid w:val="00DC09E5"/>
    <w:rsid w:val="00DC0A50"/>
    <w:rsid w:val="00DC0A97"/>
    <w:rsid w:val="00DC1B3D"/>
    <w:rsid w:val="00DC1C88"/>
    <w:rsid w:val="00DC1D34"/>
    <w:rsid w:val="00DC201F"/>
    <w:rsid w:val="00DC2098"/>
    <w:rsid w:val="00DC23BB"/>
    <w:rsid w:val="00DC2682"/>
    <w:rsid w:val="00DC3257"/>
    <w:rsid w:val="00DC4B6F"/>
    <w:rsid w:val="00DC583C"/>
    <w:rsid w:val="00DC5C49"/>
    <w:rsid w:val="00DC685B"/>
    <w:rsid w:val="00DC6A1A"/>
    <w:rsid w:val="00DC6C38"/>
    <w:rsid w:val="00DC6F8C"/>
    <w:rsid w:val="00DC7214"/>
    <w:rsid w:val="00DC742E"/>
    <w:rsid w:val="00DC7684"/>
    <w:rsid w:val="00DC794C"/>
    <w:rsid w:val="00DC79F2"/>
    <w:rsid w:val="00DC7C87"/>
    <w:rsid w:val="00DC7D54"/>
    <w:rsid w:val="00DC7E9C"/>
    <w:rsid w:val="00DC7F29"/>
    <w:rsid w:val="00DC7F79"/>
    <w:rsid w:val="00DD0233"/>
    <w:rsid w:val="00DD02CB"/>
    <w:rsid w:val="00DD07BB"/>
    <w:rsid w:val="00DD0AF3"/>
    <w:rsid w:val="00DD0C6B"/>
    <w:rsid w:val="00DD1115"/>
    <w:rsid w:val="00DD121B"/>
    <w:rsid w:val="00DD162E"/>
    <w:rsid w:val="00DD1AC3"/>
    <w:rsid w:val="00DD1B0B"/>
    <w:rsid w:val="00DD268E"/>
    <w:rsid w:val="00DD26ED"/>
    <w:rsid w:val="00DD2848"/>
    <w:rsid w:val="00DD28C5"/>
    <w:rsid w:val="00DD2C62"/>
    <w:rsid w:val="00DD2F45"/>
    <w:rsid w:val="00DD30E2"/>
    <w:rsid w:val="00DD369B"/>
    <w:rsid w:val="00DD3892"/>
    <w:rsid w:val="00DD3A2C"/>
    <w:rsid w:val="00DD411C"/>
    <w:rsid w:val="00DD4445"/>
    <w:rsid w:val="00DD4778"/>
    <w:rsid w:val="00DD4B3D"/>
    <w:rsid w:val="00DD52DE"/>
    <w:rsid w:val="00DD543B"/>
    <w:rsid w:val="00DD5DA2"/>
    <w:rsid w:val="00DD5EA9"/>
    <w:rsid w:val="00DD62CC"/>
    <w:rsid w:val="00DD65C4"/>
    <w:rsid w:val="00DD66C6"/>
    <w:rsid w:val="00DD684E"/>
    <w:rsid w:val="00DD6B19"/>
    <w:rsid w:val="00DD70E8"/>
    <w:rsid w:val="00DD7149"/>
    <w:rsid w:val="00DD7EF9"/>
    <w:rsid w:val="00DD7F68"/>
    <w:rsid w:val="00DE0088"/>
    <w:rsid w:val="00DE0950"/>
    <w:rsid w:val="00DE0B75"/>
    <w:rsid w:val="00DE1DE3"/>
    <w:rsid w:val="00DE1E3B"/>
    <w:rsid w:val="00DE239D"/>
    <w:rsid w:val="00DE245C"/>
    <w:rsid w:val="00DE2E6E"/>
    <w:rsid w:val="00DE311F"/>
    <w:rsid w:val="00DE347C"/>
    <w:rsid w:val="00DE34D9"/>
    <w:rsid w:val="00DE3630"/>
    <w:rsid w:val="00DE37EE"/>
    <w:rsid w:val="00DE39AF"/>
    <w:rsid w:val="00DE3DF1"/>
    <w:rsid w:val="00DE3E1C"/>
    <w:rsid w:val="00DE48BC"/>
    <w:rsid w:val="00DE4AF6"/>
    <w:rsid w:val="00DE52D8"/>
    <w:rsid w:val="00DE5487"/>
    <w:rsid w:val="00DE54C4"/>
    <w:rsid w:val="00DE56C5"/>
    <w:rsid w:val="00DE5B48"/>
    <w:rsid w:val="00DE5BA5"/>
    <w:rsid w:val="00DE5BF0"/>
    <w:rsid w:val="00DE5F95"/>
    <w:rsid w:val="00DE7055"/>
    <w:rsid w:val="00DE734B"/>
    <w:rsid w:val="00DE7681"/>
    <w:rsid w:val="00DE7DB8"/>
    <w:rsid w:val="00DF06BE"/>
    <w:rsid w:val="00DF07A6"/>
    <w:rsid w:val="00DF07E6"/>
    <w:rsid w:val="00DF0BDA"/>
    <w:rsid w:val="00DF0F17"/>
    <w:rsid w:val="00DF1080"/>
    <w:rsid w:val="00DF12FA"/>
    <w:rsid w:val="00DF14F7"/>
    <w:rsid w:val="00DF1903"/>
    <w:rsid w:val="00DF1CBF"/>
    <w:rsid w:val="00DF214D"/>
    <w:rsid w:val="00DF32D9"/>
    <w:rsid w:val="00DF3367"/>
    <w:rsid w:val="00DF345F"/>
    <w:rsid w:val="00DF363E"/>
    <w:rsid w:val="00DF458B"/>
    <w:rsid w:val="00DF4773"/>
    <w:rsid w:val="00DF498E"/>
    <w:rsid w:val="00DF4B68"/>
    <w:rsid w:val="00DF4B6C"/>
    <w:rsid w:val="00DF51B3"/>
    <w:rsid w:val="00DF5A49"/>
    <w:rsid w:val="00DF60B6"/>
    <w:rsid w:val="00DF6434"/>
    <w:rsid w:val="00DF643A"/>
    <w:rsid w:val="00DF68C0"/>
    <w:rsid w:val="00DF6D85"/>
    <w:rsid w:val="00DF744D"/>
    <w:rsid w:val="00DF755F"/>
    <w:rsid w:val="00DF7E3E"/>
    <w:rsid w:val="00E00062"/>
    <w:rsid w:val="00E0038F"/>
    <w:rsid w:val="00E00858"/>
    <w:rsid w:val="00E00A26"/>
    <w:rsid w:val="00E00B7D"/>
    <w:rsid w:val="00E00FA4"/>
    <w:rsid w:val="00E011F9"/>
    <w:rsid w:val="00E01447"/>
    <w:rsid w:val="00E01945"/>
    <w:rsid w:val="00E01C4E"/>
    <w:rsid w:val="00E022C1"/>
    <w:rsid w:val="00E024B2"/>
    <w:rsid w:val="00E02620"/>
    <w:rsid w:val="00E02846"/>
    <w:rsid w:val="00E02F78"/>
    <w:rsid w:val="00E03066"/>
    <w:rsid w:val="00E0328D"/>
    <w:rsid w:val="00E032E2"/>
    <w:rsid w:val="00E033C5"/>
    <w:rsid w:val="00E037C8"/>
    <w:rsid w:val="00E038EB"/>
    <w:rsid w:val="00E040B9"/>
    <w:rsid w:val="00E04D41"/>
    <w:rsid w:val="00E04EB1"/>
    <w:rsid w:val="00E05DCA"/>
    <w:rsid w:val="00E0612A"/>
    <w:rsid w:val="00E067F9"/>
    <w:rsid w:val="00E06B9A"/>
    <w:rsid w:val="00E0719D"/>
    <w:rsid w:val="00E07350"/>
    <w:rsid w:val="00E07BA3"/>
    <w:rsid w:val="00E10A14"/>
    <w:rsid w:val="00E10DEF"/>
    <w:rsid w:val="00E114A2"/>
    <w:rsid w:val="00E1249A"/>
    <w:rsid w:val="00E124EE"/>
    <w:rsid w:val="00E1257C"/>
    <w:rsid w:val="00E1260A"/>
    <w:rsid w:val="00E12822"/>
    <w:rsid w:val="00E128A4"/>
    <w:rsid w:val="00E1293D"/>
    <w:rsid w:val="00E13185"/>
    <w:rsid w:val="00E13307"/>
    <w:rsid w:val="00E140AC"/>
    <w:rsid w:val="00E14283"/>
    <w:rsid w:val="00E1488B"/>
    <w:rsid w:val="00E150FF"/>
    <w:rsid w:val="00E151EB"/>
    <w:rsid w:val="00E1553B"/>
    <w:rsid w:val="00E163ED"/>
    <w:rsid w:val="00E16641"/>
    <w:rsid w:val="00E17B5B"/>
    <w:rsid w:val="00E17D5E"/>
    <w:rsid w:val="00E2029F"/>
    <w:rsid w:val="00E20A0D"/>
    <w:rsid w:val="00E21774"/>
    <w:rsid w:val="00E21E11"/>
    <w:rsid w:val="00E21E17"/>
    <w:rsid w:val="00E220E2"/>
    <w:rsid w:val="00E22156"/>
    <w:rsid w:val="00E22C7A"/>
    <w:rsid w:val="00E23604"/>
    <w:rsid w:val="00E23D84"/>
    <w:rsid w:val="00E24311"/>
    <w:rsid w:val="00E2475B"/>
    <w:rsid w:val="00E24CF0"/>
    <w:rsid w:val="00E24E3D"/>
    <w:rsid w:val="00E24E62"/>
    <w:rsid w:val="00E24FED"/>
    <w:rsid w:val="00E254D3"/>
    <w:rsid w:val="00E25653"/>
    <w:rsid w:val="00E25666"/>
    <w:rsid w:val="00E25768"/>
    <w:rsid w:val="00E267E7"/>
    <w:rsid w:val="00E26DAA"/>
    <w:rsid w:val="00E272C4"/>
    <w:rsid w:val="00E2753D"/>
    <w:rsid w:val="00E27582"/>
    <w:rsid w:val="00E2760B"/>
    <w:rsid w:val="00E30496"/>
    <w:rsid w:val="00E30B87"/>
    <w:rsid w:val="00E30CE9"/>
    <w:rsid w:val="00E30E43"/>
    <w:rsid w:val="00E31019"/>
    <w:rsid w:val="00E3149E"/>
    <w:rsid w:val="00E317EB"/>
    <w:rsid w:val="00E31AA0"/>
    <w:rsid w:val="00E31CE2"/>
    <w:rsid w:val="00E31D0C"/>
    <w:rsid w:val="00E31D94"/>
    <w:rsid w:val="00E320A4"/>
    <w:rsid w:val="00E3219D"/>
    <w:rsid w:val="00E321A9"/>
    <w:rsid w:val="00E32322"/>
    <w:rsid w:val="00E32842"/>
    <w:rsid w:val="00E3328A"/>
    <w:rsid w:val="00E3329D"/>
    <w:rsid w:val="00E33A29"/>
    <w:rsid w:val="00E33AF7"/>
    <w:rsid w:val="00E34034"/>
    <w:rsid w:val="00E35345"/>
    <w:rsid w:val="00E35514"/>
    <w:rsid w:val="00E35713"/>
    <w:rsid w:val="00E358C3"/>
    <w:rsid w:val="00E35A7C"/>
    <w:rsid w:val="00E35E1F"/>
    <w:rsid w:val="00E35F29"/>
    <w:rsid w:val="00E35FE0"/>
    <w:rsid w:val="00E360F5"/>
    <w:rsid w:val="00E3628B"/>
    <w:rsid w:val="00E36332"/>
    <w:rsid w:val="00E36BF4"/>
    <w:rsid w:val="00E37497"/>
    <w:rsid w:val="00E375EF"/>
    <w:rsid w:val="00E37662"/>
    <w:rsid w:val="00E37A67"/>
    <w:rsid w:val="00E37B62"/>
    <w:rsid w:val="00E40240"/>
    <w:rsid w:val="00E40A3D"/>
    <w:rsid w:val="00E40AEF"/>
    <w:rsid w:val="00E40B25"/>
    <w:rsid w:val="00E40F92"/>
    <w:rsid w:val="00E4116A"/>
    <w:rsid w:val="00E413DF"/>
    <w:rsid w:val="00E4160D"/>
    <w:rsid w:val="00E41630"/>
    <w:rsid w:val="00E41AFE"/>
    <w:rsid w:val="00E41BBD"/>
    <w:rsid w:val="00E42341"/>
    <w:rsid w:val="00E42954"/>
    <w:rsid w:val="00E42D6B"/>
    <w:rsid w:val="00E42EC8"/>
    <w:rsid w:val="00E43191"/>
    <w:rsid w:val="00E43490"/>
    <w:rsid w:val="00E43CCF"/>
    <w:rsid w:val="00E43E7E"/>
    <w:rsid w:val="00E44981"/>
    <w:rsid w:val="00E44DDF"/>
    <w:rsid w:val="00E44E6A"/>
    <w:rsid w:val="00E44F25"/>
    <w:rsid w:val="00E45729"/>
    <w:rsid w:val="00E45DE2"/>
    <w:rsid w:val="00E45EBB"/>
    <w:rsid w:val="00E460E3"/>
    <w:rsid w:val="00E465AA"/>
    <w:rsid w:val="00E46BE3"/>
    <w:rsid w:val="00E46CF7"/>
    <w:rsid w:val="00E471F0"/>
    <w:rsid w:val="00E4735B"/>
    <w:rsid w:val="00E47542"/>
    <w:rsid w:val="00E477B4"/>
    <w:rsid w:val="00E479E2"/>
    <w:rsid w:val="00E47AFF"/>
    <w:rsid w:val="00E47C88"/>
    <w:rsid w:val="00E511F8"/>
    <w:rsid w:val="00E519F5"/>
    <w:rsid w:val="00E51A79"/>
    <w:rsid w:val="00E5207D"/>
    <w:rsid w:val="00E52172"/>
    <w:rsid w:val="00E5232F"/>
    <w:rsid w:val="00E52627"/>
    <w:rsid w:val="00E52F4B"/>
    <w:rsid w:val="00E53113"/>
    <w:rsid w:val="00E535AC"/>
    <w:rsid w:val="00E5380D"/>
    <w:rsid w:val="00E53A0C"/>
    <w:rsid w:val="00E53B81"/>
    <w:rsid w:val="00E541E2"/>
    <w:rsid w:val="00E542FA"/>
    <w:rsid w:val="00E55446"/>
    <w:rsid w:val="00E5579F"/>
    <w:rsid w:val="00E55CAE"/>
    <w:rsid w:val="00E55CC7"/>
    <w:rsid w:val="00E55CFA"/>
    <w:rsid w:val="00E55D3C"/>
    <w:rsid w:val="00E55DCD"/>
    <w:rsid w:val="00E55EA6"/>
    <w:rsid w:val="00E5639B"/>
    <w:rsid w:val="00E565FD"/>
    <w:rsid w:val="00E56BF0"/>
    <w:rsid w:val="00E57FCB"/>
    <w:rsid w:val="00E60080"/>
    <w:rsid w:val="00E60AB9"/>
    <w:rsid w:val="00E60AD7"/>
    <w:rsid w:val="00E61983"/>
    <w:rsid w:val="00E61B49"/>
    <w:rsid w:val="00E61DB6"/>
    <w:rsid w:val="00E61E12"/>
    <w:rsid w:val="00E621A2"/>
    <w:rsid w:val="00E62889"/>
    <w:rsid w:val="00E628C8"/>
    <w:rsid w:val="00E62AA1"/>
    <w:rsid w:val="00E632AC"/>
    <w:rsid w:val="00E638C0"/>
    <w:rsid w:val="00E63936"/>
    <w:rsid w:val="00E63E25"/>
    <w:rsid w:val="00E65513"/>
    <w:rsid w:val="00E656E4"/>
    <w:rsid w:val="00E65F32"/>
    <w:rsid w:val="00E6623E"/>
    <w:rsid w:val="00E66550"/>
    <w:rsid w:val="00E670E7"/>
    <w:rsid w:val="00E6730F"/>
    <w:rsid w:val="00E676C9"/>
    <w:rsid w:val="00E70030"/>
    <w:rsid w:val="00E7038E"/>
    <w:rsid w:val="00E706E9"/>
    <w:rsid w:val="00E70891"/>
    <w:rsid w:val="00E709D3"/>
    <w:rsid w:val="00E71D63"/>
    <w:rsid w:val="00E73877"/>
    <w:rsid w:val="00E7424B"/>
    <w:rsid w:val="00E74457"/>
    <w:rsid w:val="00E7463A"/>
    <w:rsid w:val="00E75B4B"/>
    <w:rsid w:val="00E75B6D"/>
    <w:rsid w:val="00E75FD5"/>
    <w:rsid w:val="00E7686D"/>
    <w:rsid w:val="00E76D01"/>
    <w:rsid w:val="00E77302"/>
    <w:rsid w:val="00E775A5"/>
    <w:rsid w:val="00E77628"/>
    <w:rsid w:val="00E7764D"/>
    <w:rsid w:val="00E7798E"/>
    <w:rsid w:val="00E77C38"/>
    <w:rsid w:val="00E77E21"/>
    <w:rsid w:val="00E77F41"/>
    <w:rsid w:val="00E80F37"/>
    <w:rsid w:val="00E8106F"/>
    <w:rsid w:val="00E81B04"/>
    <w:rsid w:val="00E81BDC"/>
    <w:rsid w:val="00E82236"/>
    <w:rsid w:val="00E8287D"/>
    <w:rsid w:val="00E839FB"/>
    <w:rsid w:val="00E83C02"/>
    <w:rsid w:val="00E84294"/>
    <w:rsid w:val="00E842CD"/>
    <w:rsid w:val="00E848CB"/>
    <w:rsid w:val="00E8491A"/>
    <w:rsid w:val="00E8495F"/>
    <w:rsid w:val="00E84C01"/>
    <w:rsid w:val="00E84CC7"/>
    <w:rsid w:val="00E84D8F"/>
    <w:rsid w:val="00E84F06"/>
    <w:rsid w:val="00E85364"/>
    <w:rsid w:val="00E85702"/>
    <w:rsid w:val="00E859CB"/>
    <w:rsid w:val="00E8638C"/>
    <w:rsid w:val="00E8638D"/>
    <w:rsid w:val="00E86571"/>
    <w:rsid w:val="00E867D4"/>
    <w:rsid w:val="00E86D92"/>
    <w:rsid w:val="00E8772F"/>
    <w:rsid w:val="00E8779E"/>
    <w:rsid w:val="00E87BCE"/>
    <w:rsid w:val="00E87C77"/>
    <w:rsid w:val="00E9042A"/>
    <w:rsid w:val="00E9055B"/>
    <w:rsid w:val="00E90624"/>
    <w:rsid w:val="00E9066B"/>
    <w:rsid w:val="00E90719"/>
    <w:rsid w:val="00E90FB1"/>
    <w:rsid w:val="00E90FE0"/>
    <w:rsid w:val="00E92108"/>
    <w:rsid w:val="00E9234E"/>
    <w:rsid w:val="00E92813"/>
    <w:rsid w:val="00E9347C"/>
    <w:rsid w:val="00E93490"/>
    <w:rsid w:val="00E93846"/>
    <w:rsid w:val="00E93B2B"/>
    <w:rsid w:val="00E94A43"/>
    <w:rsid w:val="00E94AEB"/>
    <w:rsid w:val="00E950B5"/>
    <w:rsid w:val="00E95157"/>
    <w:rsid w:val="00E95C6D"/>
    <w:rsid w:val="00E95D6D"/>
    <w:rsid w:val="00E96B62"/>
    <w:rsid w:val="00E96F42"/>
    <w:rsid w:val="00E9705E"/>
    <w:rsid w:val="00E97096"/>
    <w:rsid w:val="00E97570"/>
    <w:rsid w:val="00E979FE"/>
    <w:rsid w:val="00E97E79"/>
    <w:rsid w:val="00EA0932"/>
    <w:rsid w:val="00EA09C6"/>
    <w:rsid w:val="00EA158F"/>
    <w:rsid w:val="00EA1BF7"/>
    <w:rsid w:val="00EA226E"/>
    <w:rsid w:val="00EA31DC"/>
    <w:rsid w:val="00EA3B31"/>
    <w:rsid w:val="00EA4327"/>
    <w:rsid w:val="00EA43F8"/>
    <w:rsid w:val="00EA4512"/>
    <w:rsid w:val="00EA47DC"/>
    <w:rsid w:val="00EA4A37"/>
    <w:rsid w:val="00EA5267"/>
    <w:rsid w:val="00EA52DC"/>
    <w:rsid w:val="00EA6151"/>
    <w:rsid w:val="00EA61BA"/>
    <w:rsid w:val="00EA626B"/>
    <w:rsid w:val="00EA6669"/>
    <w:rsid w:val="00EA6997"/>
    <w:rsid w:val="00EA69C2"/>
    <w:rsid w:val="00EA6E26"/>
    <w:rsid w:val="00EA6FB4"/>
    <w:rsid w:val="00EA7306"/>
    <w:rsid w:val="00EA7483"/>
    <w:rsid w:val="00EA74E7"/>
    <w:rsid w:val="00EA7881"/>
    <w:rsid w:val="00EA7CE9"/>
    <w:rsid w:val="00EB084F"/>
    <w:rsid w:val="00EB088A"/>
    <w:rsid w:val="00EB088F"/>
    <w:rsid w:val="00EB142B"/>
    <w:rsid w:val="00EB14DB"/>
    <w:rsid w:val="00EB14DE"/>
    <w:rsid w:val="00EB1826"/>
    <w:rsid w:val="00EB1A38"/>
    <w:rsid w:val="00EB21E5"/>
    <w:rsid w:val="00EB24FA"/>
    <w:rsid w:val="00EB27BF"/>
    <w:rsid w:val="00EB2CF2"/>
    <w:rsid w:val="00EB2F0A"/>
    <w:rsid w:val="00EB352E"/>
    <w:rsid w:val="00EB355A"/>
    <w:rsid w:val="00EB364C"/>
    <w:rsid w:val="00EB3A6F"/>
    <w:rsid w:val="00EB3D59"/>
    <w:rsid w:val="00EB3EDF"/>
    <w:rsid w:val="00EB3F2A"/>
    <w:rsid w:val="00EB43DE"/>
    <w:rsid w:val="00EB4A35"/>
    <w:rsid w:val="00EB4F2B"/>
    <w:rsid w:val="00EB5618"/>
    <w:rsid w:val="00EB56E3"/>
    <w:rsid w:val="00EB5727"/>
    <w:rsid w:val="00EB6098"/>
    <w:rsid w:val="00EB6187"/>
    <w:rsid w:val="00EB6223"/>
    <w:rsid w:val="00EB6E01"/>
    <w:rsid w:val="00EB6FA5"/>
    <w:rsid w:val="00EB7327"/>
    <w:rsid w:val="00EB77E7"/>
    <w:rsid w:val="00EB7988"/>
    <w:rsid w:val="00EB7A2C"/>
    <w:rsid w:val="00EB7EF7"/>
    <w:rsid w:val="00EC0065"/>
    <w:rsid w:val="00EC0352"/>
    <w:rsid w:val="00EC0739"/>
    <w:rsid w:val="00EC0AD1"/>
    <w:rsid w:val="00EC0AFE"/>
    <w:rsid w:val="00EC1283"/>
    <w:rsid w:val="00EC1680"/>
    <w:rsid w:val="00EC1B96"/>
    <w:rsid w:val="00EC1E25"/>
    <w:rsid w:val="00EC297A"/>
    <w:rsid w:val="00EC29ED"/>
    <w:rsid w:val="00EC2ADF"/>
    <w:rsid w:val="00EC2CC9"/>
    <w:rsid w:val="00EC30F5"/>
    <w:rsid w:val="00EC396B"/>
    <w:rsid w:val="00EC3F1A"/>
    <w:rsid w:val="00EC405F"/>
    <w:rsid w:val="00EC40B6"/>
    <w:rsid w:val="00EC4112"/>
    <w:rsid w:val="00EC422A"/>
    <w:rsid w:val="00EC5196"/>
    <w:rsid w:val="00EC565E"/>
    <w:rsid w:val="00EC5978"/>
    <w:rsid w:val="00EC5B0C"/>
    <w:rsid w:val="00EC5FD1"/>
    <w:rsid w:val="00EC6328"/>
    <w:rsid w:val="00EC7F79"/>
    <w:rsid w:val="00EC7FB3"/>
    <w:rsid w:val="00ED0509"/>
    <w:rsid w:val="00ED05BE"/>
    <w:rsid w:val="00ED0A14"/>
    <w:rsid w:val="00ED158A"/>
    <w:rsid w:val="00ED1C74"/>
    <w:rsid w:val="00ED1EC1"/>
    <w:rsid w:val="00ED21DE"/>
    <w:rsid w:val="00ED2A14"/>
    <w:rsid w:val="00ED2ABC"/>
    <w:rsid w:val="00ED2C8F"/>
    <w:rsid w:val="00ED2DF5"/>
    <w:rsid w:val="00ED37A5"/>
    <w:rsid w:val="00ED3966"/>
    <w:rsid w:val="00ED4309"/>
    <w:rsid w:val="00ED4490"/>
    <w:rsid w:val="00ED459D"/>
    <w:rsid w:val="00ED4928"/>
    <w:rsid w:val="00ED4C1A"/>
    <w:rsid w:val="00ED4E8F"/>
    <w:rsid w:val="00ED51A1"/>
    <w:rsid w:val="00ED546F"/>
    <w:rsid w:val="00ED5ACB"/>
    <w:rsid w:val="00ED5BF0"/>
    <w:rsid w:val="00ED62A8"/>
    <w:rsid w:val="00ED64FA"/>
    <w:rsid w:val="00ED6672"/>
    <w:rsid w:val="00ED676E"/>
    <w:rsid w:val="00ED6925"/>
    <w:rsid w:val="00ED6A8C"/>
    <w:rsid w:val="00ED6DF4"/>
    <w:rsid w:val="00ED74B8"/>
    <w:rsid w:val="00EE0235"/>
    <w:rsid w:val="00EE13AB"/>
    <w:rsid w:val="00EE15E7"/>
    <w:rsid w:val="00EE1A0A"/>
    <w:rsid w:val="00EE1B67"/>
    <w:rsid w:val="00EE1E00"/>
    <w:rsid w:val="00EE206B"/>
    <w:rsid w:val="00EE3251"/>
    <w:rsid w:val="00EE32CE"/>
    <w:rsid w:val="00EE3305"/>
    <w:rsid w:val="00EE3C5C"/>
    <w:rsid w:val="00EE3E0E"/>
    <w:rsid w:val="00EE3F06"/>
    <w:rsid w:val="00EE40E4"/>
    <w:rsid w:val="00EE4995"/>
    <w:rsid w:val="00EE49F7"/>
    <w:rsid w:val="00EE4A31"/>
    <w:rsid w:val="00EE4E43"/>
    <w:rsid w:val="00EE4EB8"/>
    <w:rsid w:val="00EE50AC"/>
    <w:rsid w:val="00EE5653"/>
    <w:rsid w:val="00EE5887"/>
    <w:rsid w:val="00EE5A5F"/>
    <w:rsid w:val="00EE5DE5"/>
    <w:rsid w:val="00EE67EC"/>
    <w:rsid w:val="00EE6A72"/>
    <w:rsid w:val="00EE6CB3"/>
    <w:rsid w:val="00EE7341"/>
    <w:rsid w:val="00EE73E3"/>
    <w:rsid w:val="00EE7B73"/>
    <w:rsid w:val="00EE7BAA"/>
    <w:rsid w:val="00EE7CE3"/>
    <w:rsid w:val="00EF0192"/>
    <w:rsid w:val="00EF02E5"/>
    <w:rsid w:val="00EF0510"/>
    <w:rsid w:val="00EF0535"/>
    <w:rsid w:val="00EF101B"/>
    <w:rsid w:val="00EF13A6"/>
    <w:rsid w:val="00EF1530"/>
    <w:rsid w:val="00EF1D5C"/>
    <w:rsid w:val="00EF2503"/>
    <w:rsid w:val="00EF3160"/>
    <w:rsid w:val="00EF3732"/>
    <w:rsid w:val="00EF37E7"/>
    <w:rsid w:val="00EF399A"/>
    <w:rsid w:val="00EF3C3B"/>
    <w:rsid w:val="00EF3E54"/>
    <w:rsid w:val="00EF43AA"/>
    <w:rsid w:val="00EF4508"/>
    <w:rsid w:val="00EF5155"/>
    <w:rsid w:val="00EF5800"/>
    <w:rsid w:val="00EF580A"/>
    <w:rsid w:val="00EF5D93"/>
    <w:rsid w:val="00EF61C5"/>
    <w:rsid w:val="00EF661D"/>
    <w:rsid w:val="00EF6974"/>
    <w:rsid w:val="00EF6CEB"/>
    <w:rsid w:val="00EF72B3"/>
    <w:rsid w:val="00EF7809"/>
    <w:rsid w:val="00EF7D76"/>
    <w:rsid w:val="00F00548"/>
    <w:rsid w:val="00F0073F"/>
    <w:rsid w:val="00F017DF"/>
    <w:rsid w:val="00F01F10"/>
    <w:rsid w:val="00F02111"/>
    <w:rsid w:val="00F0214D"/>
    <w:rsid w:val="00F0252F"/>
    <w:rsid w:val="00F026A6"/>
    <w:rsid w:val="00F02A1C"/>
    <w:rsid w:val="00F02C21"/>
    <w:rsid w:val="00F0343C"/>
    <w:rsid w:val="00F036C5"/>
    <w:rsid w:val="00F041CE"/>
    <w:rsid w:val="00F04262"/>
    <w:rsid w:val="00F04663"/>
    <w:rsid w:val="00F046C9"/>
    <w:rsid w:val="00F047B3"/>
    <w:rsid w:val="00F04C04"/>
    <w:rsid w:val="00F050A6"/>
    <w:rsid w:val="00F053FE"/>
    <w:rsid w:val="00F056F4"/>
    <w:rsid w:val="00F05A44"/>
    <w:rsid w:val="00F05C95"/>
    <w:rsid w:val="00F05CEB"/>
    <w:rsid w:val="00F05D5D"/>
    <w:rsid w:val="00F06538"/>
    <w:rsid w:val="00F0683D"/>
    <w:rsid w:val="00F06ADE"/>
    <w:rsid w:val="00F0754E"/>
    <w:rsid w:val="00F0758E"/>
    <w:rsid w:val="00F07889"/>
    <w:rsid w:val="00F10438"/>
    <w:rsid w:val="00F11300"/>
    <w:rsid w:val="00F11B49"/>
    <w:rsid w:val="00F12983"/>
    <w:rsid w:val="00F12ACD"/>
    <w:rsid w:val="00F12D09"/>
    <w:rsid w:val="00F12F8E"/>
    <w:rsid w:val="00F13027"/>
    <w:rsid w:val="00F13389"/>
    <w:rsid w:val="00F1391F"/>
    <w:rsid w:val="00F13DAC"/>
    <w:rsid w:val="00F13E4A"/>
    <w:rsid w:val="00F14111"/>
    <w:rsid w:val="00F141C6"/>
    <w:rsid w:val="00F146B3"/>
    <w:rsid w:val="00F1538F"/>
    <w:rsid w:val="00F15D6E"/>
    <w:rsid w:val="00F15FAC"/>
    <w:rsid w:val="00F16548"/>
    <w:rsid w:val="00F168D5"/>
    <w:rsid w:val="00F16A65"/>
    <w:rsid w:val="00F16F21"/>
    <w:rsid w:val="00F17400"/>
    <w:rsid w:val="00F17405"/>
    <w:rsid w:val="00F17E34"/>
    <w:rsid w:val="00F17EAD"/>
    <w:rsid w:val="00F17FF5"/>
    <w:rsid w:val="00F2017C"/>
    <w:rsid w:val="00F2073E"/>
    <w:rsid w:val="00F20768"/>
    <w:rsid w:val="00F209E0"/>
    <w:rsid w:val="00F20F7E"/>
    <w:rsid w:val="00F21405"/>
    <w:rsid w:val="00F219B6"/>
    <w:rsid w:val="00F21B0F"/>
    <w:rsid w:val="00F22343"/>
    <w:rsid w:val="00F2261C"/>
    <w:rsid w:val="00F23086"/>
    <w:rsid w:val="00F237D2"/>
    <w:rsid w:val="00F24B07"/>
    <w:rsid w:val="00F2597C"/>
    <w:rsid w:val="00F25BF4"/>
    <w:rsid w:val="00F25F38"/>
    <w:rsid w:val="00F26493"/>
    <w:rsid w:val="00F26C1F"/>
    <w:rsid w:val="00F26E8C"/>
    <w:rsid w:val="00F27185"/>
    <w:rsid w:val="00F2742D"/>
    <w:rsid w:val="00F27A3A"/>
    <w:rsid w:val="00F3048D"/>
    <w:rsid w:val="00F305FE"/>
    <w:rsid w:val="00F30684"/>
    <w:rsid w:val="00F30ED7"/>
    <w:rsid w:val="00F31029"/>
    <w:rsid w:val="00F310B4"/>
    <w:rsid w:val="00F310C4"/>
    <w:rsid w:val="00F315BD"/>
    <w:rsid w:val="00F31B5A"/>
    <w:rsid w:val="00F32595"/>
    <w:rsid w:val="00F325A4"/>
    <w:rsid w:val="00F32632"/>
    <w:rsid w:val="00F32781"/>
    <w:rsid w:val="00F32892"/>
    <w:rsid w:val="00F32A3C"/>
    <w:rsid w:val="00F332CF"/>
    <w:rsid w:val="00F334D9"/>
    <w:rsid w:val="00F33576"/>
    <w:rsid w:val="00F3367E"/>
    <w:rsid w:val="00F34101"/>
    <w:rsid w:val="00F3458C"/>
    <w:rsid w:val="00F345E2"/>
    <w:rsid w:val="00F34A5C"/>
    <w:rsid w:val="00F34B66"/>
    <w:rsid w:val="00F35759"/>
    <w:rsid w:val="00F35A58"/>
    <w:rsid w:val="00F35C3E"/>
    <w:rsid w:val="00F35CB5"/>
    <w:rsid w:val="00F35DD7"/>
    <w:rsid w:val="00F36181"/>
    <w:rsid w:val="00F3631D"/>
    <w:rsid w:val="00F363AD"/>
    <w:rsid w:val="00F36BD6"/>
    <w:rsid w:val="00F36E73"/>
    <w:rsid w:val="00F36F99"/>
    <w:rsid w:val="00F37147"/>
    <w:rsid w:val="00F37353"/>
    <w:rsid w:val="00F37F99"/>
    <w:rsid w:val="00F37FB3"/>
    <w:rsid w:val="00F40191"/>
    <w:rsid w:val="00F404C4"/>
    <w:rsid w:val="00F40684"/>
    <w:rsid w:val="00F4072C"/>
    <w:rsid w:val="00F40AEC"/>
    <w:rsid w:val="00F40B1A"/>
    <w:rsid w:val="00F414F1"/>
    <w:rsid w:val="00F41987"/>
    <w:rsid w:val="00F41FFA"/>
    <w:rsid w:val="00F4209A"/>
    <w:rsid w:val="00F424E0"/>
    <w:rsid w:val="00F42C2D"/>
    <w:rsid w:val="00F42E94"/>
    <w:rsid w:val="00F430C0"/>
    <w:rsid w:val="00F43200"/>
    <w:rsid w:val="00F43844"/>
    <w:rsid w:val="00F441BF"/>
    <w:rsid w:val="00F445A5"/>
    <w:rsid w:val="00F446CF"/>
    <w:rsid w:val="00F44C8A"/>
    <w:rsid w:val="00F44E8E"/>
    <w:rsid w:val="00F44FB7"/>
    <w:rsid w:val="00F45EE9"/>
    <w:rsid w:val="00F4645F"/>
    <w:rsid w:val="00F4690C"/>
    <w:rsid w:val="00F46AB8"/>
    <w:rsid w:val="00F46FF4"/>
    <w:rsid w:val="00F4721D"/>
    <w:rsid w:val="00F47BA2"/>
    <w:rsid w:val="00F47D11"/>
    <w:rsid w:val="00F50112"/>
    <w:rsid w:val="00F5052A"/>
    <w:rsid w:val="00F5099A"/>
    <w:rsid w:val="00F509EB"/>
    <w:rsid w:val="00F511A4"/>
    <w:rsid w:val="00F5161B"/>
    <w:rsid w:val="00F51C29"/>
    <w:rsid w:val="00F51C35"/>
    <w:rsid w:val="00F51D21"/>
    <w:rsid w:val="00F52900"/>
    <w:rsid w:val="00F52CC8"/>
    <w:rsid w:val="00F52D6F"/>
    <w:rsid w:val="00F53000"/>
    <w:rsid w:val="00F532B6"/>
    <w:rsid w:val="00F545DB"/>
    <w:rsid w:val="00F54AB4"/>
    <w:rsid w:val="00F54B84"/>
    <w:rsid w:val="00F5652A"/>
    <w:rsid w:val="00F56BF0"/>
    <w:rsid w:val="00F56DB3"/>
    <w:rsid w:val="00F56DB8"/>
    <w:rsid w:val="00F57EF8"/>
    <w:rsid w:val="00F60124"/>
    <w:rsid w:val="00F60186"/>
    <w:rsid w:val="00F601F2"/>
    <w:rsid w:val="00F6068A"/>
    <w:rsid w:val="00F60722"/>
    <w:rsid w:val="00F60B4F"/>
    <w:rsid w:val="00F60BC0"/>
    <w:rsid w:val="00F61879"/>
    <w:rsid w:val="00F61A61"/>
    <w:rsid w:val="00F62249"/>
    <w:rsid w:val="00F622D4"/>
    <w:rsid w:val="00F62780"/>
    <w:rsid w:val="00F62AC3"/>
    <w:rsid w:val="00F62BAE"/>
    <w:rsid w:val="00F632BC"/>
    <w:rsid w:val="00F63911"/>
    <w:rsid w:val="00F63B3B"/>
    <w:rsid w:val="00F64835"/>
    <w:rsid w:val="00F65116"/>
    <w:rsid w:val="00F654A9"/>
    <w:rsid w:val="00F655A8"/>
    <w:rsid w:val="00F65687"/>
    <w:rsid w:val="00F6578E"/>
    <w:rsid w:val="00F657E8"/>
    <w:rsid w:val="00F65C8B"/>
    <w:rsid w:val="00F65EA0"/>
    <w:rsid w:val="00F66066"/>
    <w:rsid w:val="00F66181"/>
    <w:rsid w:val="00F66483"/>
    <w:rsid w:val="00F66622"/>
    <w:rsid w:val="00F667B0"/>
    <w:rsid w:val="00F668B8"/>
    <w:rsid w:val="00F66ECA"/>
    <w:rsid w:val="00F6711D"/>
    <w:rsid w:val="00F67AFC"/>
    <w:rsid w:val="00F67C8B"/>
    <w:rsid w:val="00F67F16"/>
    <w:rsid w:val="00F708B7"/>
    <w:rsid w:val="00F70DB4"/>
    <w:rsid w:val="00F71A35"/>
    <w:rsid w:val="00F71B0B"/>
    <w:rsid w:val="00F72021"/>
    <w:rsid w:val="00F7217D"/>
    <w:rsid w:val="00F723BA"/>
    <w:rsid w:val="00F7251D"/>
    <w:rsid w:val="00F72629"/>
    <w:rsid w:val="00F72B0D"/>
    <w:rsid w:val="00F732A1"/>
    <w:rsid w:val="00F733E3"/>
    <w:rsid w:val="00F73BEB"/>
    <w:rsid w:val="00F742E5"/>
    <w:rsid w:val="00F74C81"/>
    <w:rsid w:val="00F7525A"/>
    <w:rsid w:val="00F75559"/>
    <w:rsid w:val="00F75747"/>
    <w:rsid w:val="00F75B28"/>
    <w:rsid w:val="00F7687B"/>
    <w:rsid w:val="00F76A68"/>
    <w:rsid w:val="00F76DC9"/>
    <w:rsid w:val="00F76E14"/>
    <w:rsid w:val="00F76E53"/>
    <w:rsid w:val="00F76E93"/>
    <w:rsid w:val="00F76E98"/>
    <w:rsid w:val="00F77239"/>
    <w:rsid w:val="00F77735"/>
    <w:rsid w:val="00F77968"/>
    <w:rsid w:val="00F77C60"/>
    <w:rsid w:val="00F77D7E"/>
    <w:rsid w:val="00F80C5C"/>
    <w:rsid w:val="00F812E4"/>
    <w:rsid w:val="00F81494"/>
    <w:rsid w:val="00F81556"/>
    <w:rsid w:val="00F816B3"/>
    <w:rsid w:val="00F81A85"/>
    <w:rsid w:val="00F825B8"/>
    <w:rsid w:val="00F82D49"/>
    <w:rsid w:val="00F82F84"/>
    <w:rsid w:val="00F834EC"/>
    <w:rsid w:val="00F83618"/>
    <w:rsid w:val="00F8386B"/>
    <w:rsid w:val="00F83BE7"/>
    <w:rsid w:val="00F83D9B"/>
    <w:rsid w:val="00F84231"/>
    <w:rsid w:val="00F84331"/>
    <w:rsid w:val="00F84732"/>
    <w:rsid w:val="00F85484"/>
    <w:rsid w:val="00F86DF7"/>
    <w:rsid w:val="00F86FC1"/>
    <w:rsid w:val="00F871A7"/>
    <w:rsid w:val="00F87428"/>
    <w:rsid w:val="00F87BF6"/>
    <w:rsid w:val="00F87DA6"/>
    <w:rsid w:val="00F9008E"/>
    <w:rsid w:val="00F9014C"/>
    <w:rsid w:val="00F90172"/>
    <w:rsid w:val="00F9054B"/>
    <w:rsid w:val="00F90931"/>
    <w:rsid w:val="00F90F17"/>
    <w:rsid w:val="00F91945"/>
    <w:rsid w:val="00F91ABE"/>
    <w:rsid w:val="00F91B95"/>
    <w:rsid w:val="00F91C29"/>
    <w:rsid w:val="00F91D9B"/>
    <w:rsid w:val="00F92095"/>
    <w:rsid w:val="00F92475"/>
    <w:rsid w:val="00F92564"/>
    <w:rsid w:val="00F92B85"/>
    <w:rsid w:val="00F92E9E"/>
    <w:rsid w:val="00F9320D"/>
    <w:rsid w:val="00F94681"/>
    <w:rsid w:val="00F948FC"/>
    <w:rsid w:val="00F94E51"/>
    <w:rsid w:val="00F9562F"/>
    <w:rsid w:val="00F95C1F"/>
    <w:rsid w:val="00F966CF"/>
    <w:rsid w:val="00F9673C"/>
    <w:rsid w:val="00F96867"/>
    <w:rsid w:val="00F969EC"/>
    <w:rsid w:val="00F97897"/>
    <w:rsid w:val="00F97E0D"/>
    <w:rsid w:val="00FA0A01"/>
    <w:rsid w:val="00FA17D0"/>
    <w:rsid w:val="00FA1A2B"/>
    <w:rsid w:val="00FA2054"/>
    <w:rsid w:val="00FA2BDD"/>
    <w:rsid w:val="00FA3397"/>
    <w:rsid w:val="00FA36A2"/>
    <w:rsid w:val="00FA36F1"/>
    <w:rsid w:val="00FA3823"/>
    <w:rsid w:val="00FA3A7F"/>
    <w:rsid w:val="00FA3CCD"/>
    <w:rsid w:val="00FA3FA8"/>
    <w:rsid w:val="00FA4574"/>
    <w:rsid w:val="00FA4614"/>
    <w:rsid w:val="00FA4A83"/>
    <w:rsid w:val="00FA4BCD"/>
    <w:rsid w:val="00FA4DEE"/>
    <w:rsid w:val="00FA548B"/>
    <w:rsid w:val="00FA5D26"/>
    <w:rsid w:val="00FA66B6"/>
    <w:rsid w:val="00FA66E8"/>
    <w:rsid w:val="00FA67F1"/>
    <w:rsid w:val="00FA6A46"/>
    <w:rsid w:val="00FA72C6"/>
    <w:rsid w:val="00FA73A9"/>
    <w:rsid w:val="00FA754B"/>
    <w:rsid w:val="00FA775E"/>
    <w:rsid w:val="00FA7DAE"/>
    <w:rsid w:val="00FA7DD1"/>
    <w:rsid w:val="00FB00AC"/>
    <w:rsid w:val="00FB0954"/>
    <w:rsid w:val="00FB09EA"/>
    <w:rsid w:val="00FB0FD2"/>
    <w:rsid w:val="00FB1915"/>
    <w:rsid w:val="00FB2270"/>
    <w:rsid w:val="00FB2520"/>
    <w:rsid w:val="00FB2E03"/>
    <w:rsid w:val="00FB334A"/>
    <w:rsid w:val="00FB365B"/>
    <w:rsid w:val="00FB37BF"/>
    <w:rsid w:val="00FB3A23"/>
    <w:rsid w:val="00FB4297"/>
    <w:rsid w:val="00FB483F"/>
    <w:rsid w:val="00FB5438"/>
    <w:rsid w:val="00FB63A1"/>
    <w:rsid w:val="00FB647E"/>
    <w:rsid w:val="00FB7132"/>
    <w:rsid w:val="00FB728B"/>
    <w:rsid w:val="00FB73A9"/>
    <w:rsid w:val="00FB74BA"/>
    <w:rsid w:val="00FB761E"/>
    <w:rsid w:val="00FC00FE"/>
    <w:rsid w:val="00FC09CC"/>
    <w:rsid w:val="00FC0D80"/>
    <w:rsid w:val="00FC1178"/>
    <w:rsid w:val="00FC1231"/>
    <w:rsid w:val="00FC131F"/>
    <w:rsid w:val="00FC18A7"/>
    <w:rsid w:val="00FC1C51"/>
    <w:rsid w:val="00FC1CD2"/>
    <w:rsid w:val="00FC1E42"/>
    <w:rsid w:val="00FC2306"/>
    <w:rsid w:val="00FC28A0"/>
    <w:rsid w:val="00FC349C"/>
    <w:rsid w:val="00FC350A"/>
    <w:rsid w:val="00FC3797"/>
    <w:rsid w:val="00FC3AE6"/>
    <w:rsid w:val="00FC3B23"/>
    <w:rsid w:val="00FC3CA1"/>
    <w:rsid w:val="00FC4522"/>
    <w:rsid w:val="00FC45D0"/>
    <w:rsid w:val="00FC46A3"/>
    <w:rsid w:val="00FC4846"/>
    <w:rsid w:val="00FC4923"/>
    <w:rsid w:val="00FC4ADD"/>
    <w:rsid w:val="00FC4ADF"/>
    <w:rsid w:val="00FC4D13"/>
    <w:rsid w:val="00FC4E38"/>
    <w:rsid w:val="00FC50B1"/>
    <w:rsid w:val="00FC5894"/>
    <w:rsid w:val="00FC5AE1"/>
    <w:rsid w:val="00FC5B8D"/>
    <w:rsid w:val="00FC5C70"/>
    <w:rsid w:val="00FC5CD6"/>
    <w:rsid w:val="00FC5CD8"/>
    <w:rsid w:val="00FC5DE3"/>
    <w:rsid w:val="00FC67E5"/>
    <w:rsid w:val="00FC6D7F"/>
    <w:rsid w:val="00FC6DD7"/>
    <w:rsid w:val="00FC6F19"/>
    <w:rsid w:val="00FC7130"/>
    <w:rsid w:val="00FC74B0"/>
    <w:rsid w:val="00FC7C29"/>
    <w:rsid w:val="00FD0127"/>
    <w:rsid w:val="00FD0173"/>
    <w:rsid w:val="00FD0234"/>
    <w:rsid w:val="00FD02FD"/>
    <w:rsid w:val="00FD0A2D"/>
    <w:rsid w:val="00FD0E84"/>
    <w:rsid w:val="00FD120E"/>
    <w:rsid w:val="00FD2033"/>
    <w:rsid w:val="00FD28F8"/>
    <w:rsid w:val="00FD404F"/>
    <w:rsid w:val="00FD43A9"/>
    <w:rsid w:val="00FD4B80"/>
    <w:rsid w:val="00FD4C1F"/>
    <w:rsid w:val="00FD5308"/>
    <w:rsid w:val="00FD54C7"/>
    <w:rsid w:val="00FD5996"/>
    <w:rsid w:val="00FD5C43"/>
    <w:rsid w:val="00FD5D3F"/>
    <w:rsid w:val="00FD66C4"/>
    <w:rsid w:val="00FD6C71"/>
    <w:rsid w:val="00FD706C"/>
    <w:rsid w:val="00FD711C"/>
    <w:rsid w:val="00FD72D3"/>
    <w:rsid w:val="00FD771D"/>
    <w:rsid w:val="00FD775D"/>
    <w:rsid w:val="00FD7918"/>
    <w:rsid w:val="00FD7B10"/>
    <w:rsid w:val="00FD7CE6"/>
    <w:rsid w:val="00FD7E07"/>
    <w:rsid w:val="00FD7ED1"/>
    <w:rsid w:val="00FD7F3F"/>
    <w:rsid w:val="00FE172D"/>
    <w:rsid w:val="00FE2260"/>
    <w:rsid w:val="00FE2B41"/>
    <w:rsid w:val="00FE2B66"/>
    <w:rsid w:val="00FE305B"/>
    <w:rsid w:val="00FE3377"/>
    <w:rsid w:val="00FE36B4"/>
    <w:rsid w:val="00FE3C9D"/>
    <w:rsid w:val="00FE3F64"/>
    <w:rsid w:val="00FE4D9F"/>
    <w:rsid w:val="00FE4F0D"/>
    <w:rsid w:val="00FE5B16"/>
    <w:rsid w:val="00FE607B"/>
    <w:rsid w:val="00FE6182"/>
    <w:rsid w:val="00FE6991"/>
    <w:rsid w:val="00FE7255"/>
    <w:rsid w:val="00FE7711"/>
    <w:rsid w:val="00FE7864"/>
    <w:rsid w:val="00FE7A48"/>
    <w:rsid w:val="00FF0050"/>
    <w:rsid w:val="00FF0086"/>
    <w:rsid w:val="00FF0736"/>
    <w:rsid w:val="00FF09C9"/>
    <w:rsid w:val="00FF0DED"/>
    <w:rsid w:val="00FF0F38"/>
    <w:rsid w:val="00FF1030"/>
    <w:rsid w:val="00FF11EE"/>
    <w:rsid w:val="00FF1FAB"/>
    <w:rsid w:val="00FF2133"/>
    <w:rsid w:val="00FF23C2"/>
    <w:rsid w:val="00FF295D"/>
    <w:rsid w:val="00FF2A63"/>
    <w:rsid w:val="00FF2B68"/>
    <w:rsid w:val="00FF2C26"/>
    <w:rsid w:val="00FF2D4E"/>
    <w:rsid w:val="00FF3348"/>
    <w:rsid w:val="00FF38D4"/>
    <w:rsid w:val="00FF3946"/>
    <w:rsid w:val="00FF3DE6"/>
    <w:rsid w:val="00FF4CB7"/>
    <w:rsid w:val="00FF4E7E"/>
    <w:rsid w:val="00FF5CEE"/>
    <w:rsid w:val="00FF62D7"/>
    <w:rsid w:val="00FF6948"/>
    <w:rsid w:val="00FF6D7B"/>
    <w:rsid w:val="00FF6ED2"/>
    <w:rsid w:val="00FF718C"/>
    <w:rsid w:val="00FF73E5"/>
    <w:rsid w:val="00FF77DC"/>
    <w:rsid w:val="00FF7C13"/>
    <w:rsid w:val="00FF7CAE"/>
    <w:rsid w:val="016B1141"/>
    <w:rsid w:val="017B569D"/>
    <w:rsid w:val="01D00C17"/>
    <w:rsid w:val="01F35441"/>
    <w:rsid w:val="02891497"/>
    <w:rsid w:val="02C24C83"/>
    <w:rsid w:val="02FE6C09"/>
    <w:rsid w:val="038E134E"/>
    <w:rsid w:val="03F04E05"/>
    <w:rsid w:val="042070BD"/>
    <w:rsid w:val="04276E78"/>
    <w:rsid w:val="04A55C57"/>
    <w:rsid w:val="04B15D38"/>
    <w:rsid w:val="05B46130"/>
    <w:rsid w:val="05D34212"/>
    <w:rsid w:val="065A02D2"/>
    <w:rsid w:val="066178E8"/>
    <w:rsid w:val="070E2C73"/>
    <w:rsid w:val="07420103"/>
    <w:rsid w:val="078E0B6F"/>
    <w:rsid w:val="07A1540E"/>
    <w:rsid w:val="088C5640"/>
    <w:rsid w:val="08942FFD"/>
    <w:rsid w:val="08C97E04"/>
    <w:rsid w:val="09277251"/>
    <w:rsid w:val="0933123C"/>
    <w:rsid w:val="09612F13"/>
    <w:rsid w:val="0A793B4D"/>
    <w:rsid w:val="0AD11ECB"/>
    <w:rsid w:val="0AFA6591"/>
    <w:rsid w:val="0B0C31E6"/>
    <w:rsid w:val="0B672D35"/>
    <w:rsid w:val="0B717C77"/>
    <w:rsid w:val="0B997E74"/>
    <w:rsid w:val="0BDE1B69"/>
    <w:rsid w:val="0BE348D1"/>
    <w:rsid w:val="0C1436B0"/>
    <w:rsid w:val="0C6F0DFE"/>
    <w:rsid w:val="0CAD68F9"/>
    <w:rsid w:val="0D132F2F"/>
    <w:rsid w:val="0D1624C5"/>
    <w:rsid w:val="0D396755"/>
    <w:rsid w:val="0D612203"/>
    <w:rsid w:val="0D6949DD"/>
    <w:rsid w:val="0D9D6AF5"/>
    <w:rsid w:val="0DAD4881"/>
    <w:rsid w:val="0E316849"/>
    <w:rsid w:val="0E855775"/>
    <w:rsid w:val="0EB811D7"/>
    <w:rsid w:val="0F046A49"/>
    <w:rsid w:val="0F345661"/>
    <w:rsid w:val="0F43106C"/>
    <w:rsid w:val="0F6A6D2B"/>
    <w:rsid w:val="0FC85D62"/>
    <w:rsid w:val="10673F78"/>
    <w:rsid w:val="10984392"/>
    <w:rsid w:val="10F36B9B"/>
    <w:rsid w:val="11370240"/>
    <w:rsid w:val="11563F38"/>
    <w:rsid w:val="1157668D"/>
    <w:rsid w:val="11931CCD"/>
    <w:rsid w:val="11A45B20"/>
    <w:rsid w:val="1282606E"/>
    <w:rsid w:val="12E37A40"/>
    <w:rsid w:val="12E5305F"/>
    <w:rsid w:val="13137DEE"/>
    <w:rsid w:val="13483AB2"/>
    <w:rsid w:val="134C6571"/>
    <w:rsid w:val="136410CA"/>
    <w:rsid w:val="13766074"/>
    <w:rsid w:val="13AC5423"/>
    <w:rsid w:val="13CB11D5"/>
    <w:rsid w:val="13E630AD"/>
    <w:rsid w:val="14036E93"/>
    <w:rsid w:val="140923FC"/>
    <w:rsid w:val="141476FE"/>
    <w:rsid w:val="14407171"/>
    <w:rsid w:val="148218FE"/>
    <w:rsid w:val="14BD4042"/>
    <w:rsid w:val="15E04D1D"/>
    <w:rsid w:val="16502B86"/>
    <w:rsid w:val="169C219E"/>
    <w:rsid w:val="16B11A9E"/>
    <w:rsid w:val="173A7902"/>
    <w:rsid w:val="17446A38"/>
    <w:rsid w:val="17494FB8"/>
    <w:rsid w:val="174C3A48"/>
    <w:rsid w:val="1756506A"/>
    <w:rsid w:val="176B459A"/>
    <w:rsid w:val="178349DE"/>
    <w:rsid w:val="17D345EA"/>
    <w:rsid w:val="18474B5B"/>
    <w:rsid w:val="184C1051"/>
    <w:rsid w:val="1876442F"/>
    <w:rsid w:val="187D73BE"/>
    <w:rsid w:val="18EC5490"/>
    <w:rsid w:val="19E01C28"/>
    <w:rsid w:val="19E7558B"/>
    <w:rsid w:val="19F4540E"/>
    <w:rsid w:val="1A195F32"/>
    <w:rsid w:val="1A2574DE"/>
    <w:rsid w:val="1A2D768C"/>
    <w:rsid w:val="1A331F2E"/>
    <w:rsid w:val="1A413668"/>
    <w:rsid w:val="1A753EF5"/>
    <w:rsid w:val="1A8C4A7F"/>
    <w:rsid w:val="1AD72371"/>
    <w:rsid w:val="1AE84433"/>
    <w:rsid w:val="1B117086"/>
    <w:rsid w:val="1B1D6CDD"/>
    <w:rsid w:val="1B5250FA"/>
    <w:rsid w:val="1B711E75"/>
    <w:rsid w:val="1B7606B6"/>
    <w:rsid w:val="1BC06AAD"/>
    <w:rsid w:val="1C2558E4"/>
    <w:rsid w:val="1C534B92"/>
    <w:rsid w:val="1C6E53AF"/>
    <w:rsid w:val="1C94741D"/>
    <w:rsid w:val="1CA5284C"/>
    <w:rsid w:val="1CDF258C"/>
    <w:rsid w:val="1CE32817"/>
    <w:rsid w:val="1D105D78"/>
    <w:rsid w:val="1D4B3234"/>
    <w:rsid w:val="1E336622"/>
    <w:rsid w:val="1E451260"/>
    <w:rsid w:val="1E997DFD"/>
    <w:rsid w:val="1EE91306"/>
    <w:rsid w:val="1F1C1BA1"/>
    <w:rsid w:val="1F2B20F5"/>
    <w:rsid w:val="1F99187C"/>
    <w:rsid w:val="1FC6411D"/>
    <w:rsid w:val="202B6A28"/>
    <w:rsid w:val="203F3E8A"/>
    <w:rsid w:val="20586099"/>
    <w:rsid w:val="209F6AE1"/>
    <w:rsid w:val="20EA4BBF"/>
    <w:rsid w:val="211C6896"/>
    <w:rsid w:val="21C101AB"/>
    <w:rsid w:val="21EC14EC"/>
    <w:rsid w:val="22C60F74"/>
    <w:rsid w:val="23831780"/>
    <w:rsid w:val="23911B46"/>
    <w:rsid w:val="257A4A42"/>
    <w:rsid w:val="25D560AC"/>
    <w:rsid w:val="25E5693B"/>
    <w:rsid w:val="26480FF3"/>
    <w:rsid w:val="26BD2C8E"/>
    <w:rsid w:val="26E87267"/>
    <w:rsid w:val="2702581E"/>
    <w:rsid w:val="27041118"/>
    <w:rsid w:val="27055925"/>
    <w:rsid w:val="27070F1A"/>
    <w:rsid w:val="27227D47"/>
    <w:rsid w:val="27287CFF"/>
    <w:rsid w:val="2788674F"/>
    <w:rsid w:val="281F6A72"/>
    <w:rsid w:val="29020B19"/>
    <w:rsid w:val="2976645A"/>
    <w:rsid w:val="29A66B9A"/>
    <w:rsid w:val="29A720CD"/>
    <w:rsid w:val="2A350D92"/>
    <w:rsid w:val="2A4F3B41"/>
    <w:rsid w:val="2A550235"/>
    <w:rsid w:val="2A70204F"/>
    <w:rsid w:val="2A9F19FC"/>
    <w:rsid w:val="2AAD15A9"/>
    <w:rsid w:val="2AEF4F5A"/>
    <w:rsid w:val="2AEF5D4B"/>
    <w:rsid w:val="2AF330B4"/>
    <w:rsid w:val="2AFE68AB"/>
    <w:rsid w:val="2B090BEB"/>
    <w:rsid w:val="2B4A185A"/>
    <w:rsid w:val="2B66465E"/>
    <w:rsid w:val="2B823D99"/>
    <w:rsid w:val="2B972D64"/>
    <w:rsid w:val="2BC674EA"/>
    <w:rsid w:val="2BDF571B"/>
    <w:rsid w:val="2C66499B"/>
    <w:rsid w:val="2C6B17C7"/>
    <w:rsid w:val="2CD92D9C"/>
    <w:rsid w:val="2CDD5415"/>
    <w:rsid w:val="2CE70EA1"/>
    <w:rsid w:val="2D1A515E"/>
    <w:rsid w:val="2D372EFD"/>
    <w:rsid w:val="2D3E3F20"/>
    <w:rsid w:val="2D5A281C"/>
    <w:rsid w:val="2D6A7911"/>
    <w:rsid w:val="2D6C7214"/>
    <w:rsid w:val="2D822BC7"/>
    <w:rsid w:val="2DC51C5C"/>
    <w:rsid w:val="2E595A03"/>
    <w:rsid w:val="2ED1273B"/>
    <w:rsid w:val="2F083A6E"/>
    <w:rsid w:val="301D7111"/>
    <w:rsid w:val="303C6B27"/>
    <w:rsid w:val="307351D1"/>
    <w:rsid w:val="309D684C"/>
    <w:rsid w:val="30DF2B31"/>
    <w:rsid w:val="3166141B"/>
    <w:rsid w:val="318907EB"/>
    <w:rsid w:val="319155BB"/>
    <w:rsid w:val="322A755F"/>
    <w:rsid w:val="32A911CA"/>
    <w:rsid w:val="32B214E9"/>
    <w:rsid w:val="32B54787"/>
    <w:rsid w:val="33131370"/>
    <w:rsid w:val="33164701"/>
    <w:rsid w:val="331C6D99"/>
    <w:rsid w:val="333806C8"/>
    <w:rsid w:val="333A2A4D"/>
    <w:rsid w:val="33A230C4"/>
    <w:rsid w:val="33B56721"/>
    <w:rsid w:val="3411308D"/>
    <w:rsid w:val="34341275"/>
    <w:rsid w:val="343E0404"/>
    <w:rsid w:val="34A418E0"/>
    <w:rsid w:val="351464FB"/>
    <w:rsid w:val="35175227"/>
    <w:rsid w:val="35690265"/>
    <w:rsid w:val="35B471A5"/>
    <w:rsid w:val="3602347F"/>
    <w:rsid w:val="36100DEE"/>
    <w:rsid w:val="361E5257"/>
    <w:rsid w:val="36A41CFC"/>
    <w:rsid w:val="36D9605E"/>
    <w:rsid w:val="36F310B9"/>
    <w:rsid w:val="37756A0B"/>
    <w:rsid w:val="37C567A9"/>
    <w:rsid w:val="38885F1A"/>
    <w:rsid w:val="38AC352F"/>
    <w:rsid w:val="38BB221B"/>
    <w:rsid w:val="38D2453D"/>
    <w:rsid w:val="38DB335F"/>
    <w:rsid w:val="39485924"/>
    <w:rsid w:val="398E0B08"/>
    <w:rsid w:val="39AD7A53"/>
    <w:rsid w:val="39C47491"/>
    <w:rsid w:val="39DC6477"/>
    <w:rsid w:val="3A414402"/>
    <w:rsid w:val="3A453EA3"/>
    <w:rsid w:val="3A4F418E"/>
    <w:rsid w:val="3A6F5087"/>
    <w:rsid w:val="3A773FED"/>
    <w:rsid w:val="3AC61EE1"/>
    <w:rsid w:val="3B287684"/>
    <w:rsid w:val="3B4D3692"/>
    <w:rsid w:val="3B5A6261"/>
    <w:rsid w:val="3C185036"/>
    <w:rsid w:val="3C1D148D"/>
    <w:rsid w:val="3C52053D"/>
    <w:rsid w:val="3C8D3C33"/>
    <w:rsid w:val="3C94716C"/>
    <w:rsid w:val="3CEC2A7C"/>
    <w:rsid w:val="3D031376"/>
    <w:rsid w:val="3D32776C"/>
    <w:rsid w:val="3D4C7D7E"/>
    <w:rsid w:val="3D794651"/>
    <w:rsid w:val="3D8C6D07"/>
    <w:rsid w:val="3D947997"/>
    <w:rsid w:val="3DC84FD3"/>
    <w:rsid w:val="3DEB3106"/>
    <w:rsid w:val="3E0F1B94"/>
    <w:rsid w:val="3E503BEF"/>
    <w:rsid w:val="3E5C5C9A"/>
    <w:rsid w:val="3F037057"/>
    <w:rsid w:val="3F0E5202"/>
    <w:rsid w:val="3F171D6A"/>
    <w:rsid w:val="3F3B7314"/>
    <w:rsid w:val="3F5E5375"/>
    <w:rsid w:val="3F920F86"/>
    <w:rsid w:val="3FC30FF0"/>
    <w:rsid w:val="3FDF64CC"/>
    <w:rsid w:val="40491932"/>
    <w:rsid w:val="40516596"/>
    <w:rsid w:val="408A2036"/>
    <w:rsid w:val="40BA06B3"/>
    <w:rsid w:val="40BE58C5"/>
    <w:rsid w:val="40EB7283"/>
    <w:rsid w:val="40F620C0"/>
    <w:rsid w:val="41317BA0"/>
    <w:rsid w:val="41351797"/>
    <w:rsid w:val="414D20AB"/>
    <w:rsid w:val="418B7BD5"/>
    <w:rsid w:val="41AA2BE3"/>
    <w:rsid w:val="41C70178"/>
    <w:rsid w:val="41F14991"/>
    <w:rsid w:val="41FD7189"/>
    <w:rsid w:val="42322EC9"/>
    <w:rsid w:val="42671E75"/>
    <w:rsid w:val="42B0545A"/>
    <w:rsid w:val="43320184"/>
    <w:rsid w:val="437849F9"/>
    <w:rsid w:val="43810DF8"/>
    <w:rsid w:val="438E7BDA"/>
    <w:rsid w:val="43E548CD"/>
    <w:rsid w:val="447A64B0"/>
    <w:rsid w:val="44B97171"/>
    <w:rsid w:val="44CF0F69"/>
    <w:rsid w:val="44EA6E61"/>
    <w:rsid w:val="451A3F70"/>
    <w:rsid w:val="4530459E"/>
    <w:rsid w:val="455F620C"/>
    <w:rsid w:val="45685681"/>
    <w:rsid w:val="460E01A7"/>
    <w:rsid w:val="46507D44"/>
    <w:rsid w:val="467C68B4"/>
    <w:rsid w:val="472A3C46"/>
    <w:rsid w:val="47514506"/>
    <w:rsid w:val="4751654D"/>
    <w:rsid w:val="476B4B41"/>
    <w:rsid w:val="47816245"/>
    <w:rsid w:val="47E260CF"/>
    <w:rsid w:val="47E51C29"/>
    <w:rsid w:val="47E82329"/>
    <w:rsid w:val="47E856B4"/>
    <w:rsid w:val="4811792D"/>
    <w:rsid w:val="481674BF"/>
    <w:rsid w:val="48274AEC"/>
    <w:rsid w:val="4861104C"/>
    <w:rsid w:val="48662F81"/>
    <w:rsid w:val="486763D9"/>
    <w:rsid w:val="4873054D"/>
    <w:rsid w:val="48B07B2D"/>
    <w:rsid w:val="490E45F2"/>
    <w:rsid w:val="493A7700"/>
    <w:rsid w:val="493E1722"/>
    <w:rsid w:val="4946228A"/>
    <w:rsid w:val="494D274E"/>
    <w:rsid w:val="49592085"/>
    <w:rsid w:val="4981750C"/>
    <w:rsid w:val="498B0CE0"/>
    <w:rsid w:val="49F56FCC"/>
    <w:rsid w:val="49F928D0"/>
    <w:rsid w:val="4A1B2797"/>
    <w:rsid w:val="4A82565F"/>
    <w:rsid w:val="4AC90137"/>
    <w:rsid w:val="4B582F60"/>
    <w:rsid w:val="4B61467A"/>
    <w:rsid w:val="4B6F3060"/>
    <w:rsid w:val="4B8E66EF"/>
    <w:rsid w:val="4BCD333B"/>
    <w:rsid w:val="4BCF0AEE"/>
    <w:rsid w:val="4BDE5DF3"/>
    <w:rsid w:val="4BF669E4"/>
    <w:rsid w:val="4BFB2CF6"/>
    <w:rsid w:val="4BFE3487"/>
    <w:rsid w:val="4C2D206A"/>
    <w:rsid w:val="4C4C1F46"/>
    <w:rsid w:val="4C5E75AD"/>
    <w:rsid w:val="4CCE4EBD"/>
    <w:rsid w:val="4CF3466E"/>
    <w:rsid w:val="4D2E34E0"/>
    <w:rsid w:val="4D935D2E"/>
    <w:rsid w:val="4DE14866"/>
    <w:rsid w:val="4E421C97"/>
    <w:rsid w:val="4E533344"/>
    <w:rsid w:val="4EA43A9F"/>
    <w:rsid w:val="4F4A348F"/>
    <w:rsid w:val="50BA41B1"/>
    <w:rsid w:val="51254C81"/>
    <w:rsid w:val="517B0774"/>
    <w:rsid w:val="51F411FA"/>
    <w:rsid w:val="526C77D7"/>
    <w:rsid w:val="5274193A"/>
    <w:rsid w:val="52FE4F0B"/>
    <w:rsid w:val="53045C41"/>
    <w:rsid w:val="53322219"/>
    <w:rsid w:val="534469AF"/>
    <w:rsid w:val="535813CD"/>
    <w:rsid w:val="535A657B"/>
    <w:rsid w:val="536B2998"/>
    <w:rsid w:val="537B5903"/>
    <w:rsid w:val="53FD2CD0"/>
    <w:rsid w:val="549D1EB0"/>
    <w:rsid w:val="54C73F50"/>
    <w:rsid w:val="550B3C00"/>
    <w:rsid w:val="559B37B2"/>
    <w:rsid w:val="559D01B3"/>
    <w:rsid w:val="55E36D0B"/>
    <w:rsid w:val="56066326"/>
    <w:rsid w:val="56D94B4D"/>
    <w:rsid w:val="571F78F3"/>
    <w:rsid w:val="57235785"/>
    <w:rsid w:val="575E3F1C"/>
    <w:rsid w:val="57AE28EC"/>
    <w:rsid w:val="57ED1903"/>
    <w:rsid w:val="58124DC3"/>
    <w:rsid w:val="584A60C0"/>
    <w:rsid w:val="589659CA"/>
    <w:rsid w:val="58BF398F"/>
    <w:rsid w:val="58DE262B"/>
    <w:rsid w:val="592572CA"/>
    <w:rsid w:val="5A5A1E61"/>
    <w:rsid w:val="5AD9687D"/>
    <w:rsid w:val="5AE6005A"/>
    <w:rsid w:val="5B411E5D"/>
    <w:rsid w:val="5B4D241F"/>
    <w:rsid w:val="5BAE3EB0"/>
    <w:rsid w:val="5C07441B"/>
    <w:rsid w:val="5C0D07BD"/>
    <w:rsid w:val="5C2D2AB6"/>
    <w:rsid w:val="5C4D4D14"/>
    <w:rsid w:val="5C5263DE"/>
    <w:rsid w:val="5C6F397E"/>
    <w:rsid w:val="5CA24E74"/>
    <w:rsid w:val="5CE83E90"/>
    <w:rsid w:val="5CF87558"/>
    <w:rsid w:val="5D317E0F"/>
    <w:rsid w:val="5D4D49D6"/>
    <w:rsid w:val="5DC74DE1"/>
    <w:rsid w:val="5DFD7A64"/>
    <w:rsid w:val="5E103825"/>
    <w:rsid w:val="5E1C664B"/>
    <w:rsid w:val="5E215E49"/>
    <w:rsid w:val="5E3E6161"/>
    <w:rsid w:val="5E723019"/>
    <w:rsid w:val="5EAB06A5"/>
    <w:rsid w:val="5F117629"/>
    <w:rsid w:val="5F730868"/>
    <w:rsid w:val="5F9F4716"/>
    <w:rsid w:val="5FC9626D"/>
    <w:rsid w:val="60014ABB"/>
    <w:rsid w:val="60050DD3"/>
    <w:rsid w:val="603C5ED5"/>
    <w:rsid w:val="606C5570"/>
    <w:rsid w:val="609D0AC8"/>
    <w:rsid w:val="60A77EDE"/>
    <w:rsid w:val="60D240A2"/>
    <w:rsid w:val="60E81B5D"/>
    <w:rsid w:val="60EB7288"/>
    <w:rsid w:val="61187A15"/>
    <w:rsid w:val="613655DF"/>
    <w:rsid w:val="613F7C8B"/>
    <w:rsid w:val="61A61FBB"/>
    <w:rsid w:val="62007AD7"/>
    <w:rsid w:val="62593D94"/>
    <w:rsid w:val="627B024C"/>
    <w:rsid w:val="638220DD"/>
    <w:rsid w:val="63AB62C9"/>
    <w:rsid w:val="63BF6533"/>
    <w:rsid w:val="63F90E6D"/>
    <w:rsid w:val="63FF170A"/>
    <w:rsid w:val="643C66ED"/>
    <w:rsid w:val="64486E34"/>
    <w:rsid w:val="64750162"/>
    <w:rsid w:val="650F148F"/>
    <w:rsid w:val="655D3412"/>
    <w:rsid w:val="66121A75"/>
    <w:rsid w:val="6640491C"/>
    <w:rsid w:val="66BB2251"/>
    <w:rsid w:val="66D435C2"/>
    <w:rsid w:val="67416D32"/>
    <w:rsid w:val="67A905C7"/>
    <w:rsid w:val="67B977EF"/>
    <w:rsid w:val="6802374F"/>
    <w:rsid w:val="683B7444"/>
    <w:rsid w:val="683F1510"/>
    <w:rsid w:val="688370CD"/>
    <w:rsid w:val="68AB2F07"/>
    <w:rsid w:val="68EE415B"/>
    <w:rsid w:val="69406A59"/>
    <w:rsid w:val="69A825EB"/>
    <w:rsid w:val="69A94F6A"/>
    <w:rsid w:val="69EF3A68"/>
    <w:rsid w:val="6A37337F"/>
    <w:rsid w:val="6AAC0A2E"/>
    <w:rsid w:val="6AFD7FF7"/>
    <w:rsid w:val="6B310A25"/>
    <w:rsid w:val="6B331C8F"/>
    <w:rsid w:val="6B4D10E3"/>
    <w:rsid w:val="6B8F059E"/>
    <w:rsid w:val="6BC75D6A"/>
    <w:rsid w:val="6CA860B5"/>
    <w:rsid w:val="6CF46964"/>
    <w:rsid w:val="6D0C10F7"/>
    <w:rsid w:val="6D423738"/>
    <w:rsid w:val="6D4D4498"/>
    <w:rsid w:val="6DDE27D0"/>
    <w:rsid w:val="6E111C91"/>
    <w:rsid w:val="6E2540E6"/>
    <w:rsid w:val="6E3C1431"/>
    <w:rsid w:val="6E623FC4"/>
    <w:rsid w:val="6F700E2B"/>
    <w:rsid w:val="6FDD2296"/>
    <w:rsid w:val="6FFA7FF3"/>
    <w:rsid w:val="704950EA"/>
    <w:rsid w:val="70B646B2"/>
    <w:rsid w:val="70FA12BF"/>
    <w:rsid w:val="71950A52"/>
    <w:rsid w:val="719D2FA2"/>
    <w:rsid w:val="719E1196"/>
    <w:rsid w:val="71A81EEF"/>
    <w:rsid w:val="71CA07BD"/>
    <w:rsid w:val="71EF08C0"/>
    <w:rsid w:val="72175EC4"/>
    <w:rsid w:val="726614CA"/>
    <w:rsid w:val="72713BD9"/>
    <w:rsid w:val="72A76788"/>
    <w:rsid w:val="72B10E82"/>
    <w:rsid w:val="72CB3CAC"/>
    <w:rsid w:val="72ED586B"/>
    <w:rsid w:val="73017BC9"/>
    <w:rsid w:val="73181CD0"/>
    <w:rsid w:val="732F462C"/>
    <w:rsid w:val="73426B2A"/>
    <w:rsid w:val="735F7F9D"/>
    <w:rsid w:val="737934A2"/>
    <w:rsid w:val="73A97FA1"/>
    <w:rsid w:val="74620243"/>
    <w:rsid w:val="7475039B"/>
    <w:rsid w:val="74C436A5"/>
    <w:rsid w:val="75033AEB"/>
    <w:rsid w:val="751A3C71"/>
    <w:rsid w:val="752F7328"/>
    <w:rsid w:val="754D4A0B"/>
    <w:rsid w:val="75517434"/>
    <w:rsid w:val="757A05B0"/>
    <w:rsid w:val="757C7F8A"/>
    <w:rsid w:val="758D759A"/>
    <w:rsid w:val="75BD20E1"/>
    <w:rsid w:val="769679F2"/>
    <w:rsid w:val="77365F6D"/>
    <w:rsid w:val="774A04E8"/>
    <w:rsid w:val="77587608"/>
    <w:rsid w:val="7780195B"/>
    <w:rsid w:val="778B6844"/>
    <w:rsid w:val="77D21664"/>
    <w:rsid w:val="786F74DC"/>
    <w:rsid w:val="78E1125F"/>
    <w:rsid w:val="79024315"/>
    <w:rsid w:val="792979DA"/>
    <w:rsid w:val="793A2870"/>
    <w:rsid w:val="793D76F7"/>
    <w:rsid w:val="79464E14"/>
    <w:rsid w:val="7952184F"/>
    <w:rsid w:val="79854CEA"/>
    <w:rsid w:val="79F26992"/>
    <w:rsid w:val="7A0E5D19"/>
    <w:rsid w:val="7A137D3F"/>
    <w:rsid w:val="7AED2DCE"/>
    <w:rsid w:val="7B13112B"/>
    <w:rsid w:val="7B22638A"/>
    <w:rsid w:val="7B4316EB"/>
    <w:rsid w:val="7B8466C6"/>
    <w:rsid w:val="7B9826D1"/>
    <w:rsid w:val="7B9A22FE"/>
    <w:rsid w:val="7BD6383B"/>
    <w:rsid w:val="7BFC6A34"/>
    <w:rsid w:val="7C8576F5"/>
    <w:rsid w:val="7CAC1950"/>
    <w:rsid w:val="7D2D2BED"/>
    <w:rsid w:val="7D8F060E"/>
    <w:rsid w:val="7DA42CC5"/>
    <w:rsid w:val="7DB341A2"/>
    <w:rsid w:val="7DD81CFC"/>
    <w:rsid w:val="7DE051B4"/>
    <w:rsid w:val="7E3D2E66"/>
    <w:rsid w:val="7E927F10"/>
    <w:rsid w:val="7EBA6561"/>
    <w:rsid w:val="7ED71E0F"/>
    <w:rsid w:val="7F0D36AB"/>
    <w:rsid w:val="7F4A2C46"/>
    <w:rsid w:val="7F9F08AF"/>
    <w:rsid w:val="7FED79CB"/>
    <w:rsid w:val="7FF269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4">
    <w:name w:val="heading 1"/>
    <w:basedOn w:val="1"/>
    <w:next w:val="1"/>
    <w:link w:val="93"/>
    <w:qFormat/>
    <w:uiPriority w:val="9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5">
    <w:name w:val="heading 2"/>
    <w:basedOn w:val="1"/>
    <w:next w:val="1"/>
    <w:link w:val="94"/>
    <w:qFormat/>
    <w:uiPriority w:val="99"/>
    <w:pPr>
      <w:keepNext/>
      <w:keepLines/>
      <w:widowControl w:val="0"/>
      <w:spacing w:before="260" w:after="260" w:line="415" w:lineRule="auto"/>
      <w:jc w:val="both"/>
      <w:outlineLvl w:val="1"/>
    </w:pPr>
    <w:rPr>
      <w:rFonts w:ascii="Arial" w:hAnsi="Arial" w:eastAsia="黑体" w:cs="Times New Roman"/>
      <w:b/>
      <w:bCs/>
      <w:sz w:val="32"/>
      <w:szCs w:val="32"/>
    </w:rPr>
  </w:style>
  <w:style w:type="paragraph" w:styleId="6">
    <w:name w:val="heading 3"/>
    <w:basedOn w:val="1"/>
    <w:next w:val="1"/>
    <w:link w:val="95"/>
    <w:qFormat/>
    <w:uiPriority w:val="99"/>
    <w:pPr>
      <w:keepNext/>
      <w:keepLines/>
      <w:widowControl w:val="0"/>
      <w:spacing w:before="260" w:after="260" w:line="415" w:lineRule="auto"/>
      <w:jc w:val="both"/>
      <w:outlineLvl w:val="2"/>
    </w:pPr>
    <w:rPr>
      <w:rFonts w:cs="Times New Roman"/>
      <w:b/>
      <w:bCs/>
      <w:sz w:val="32"/>
      <w:szCs w:val="32"/>
    </w:rPr>
  </w:style>
  <w:style w:type="paragraph" w:styleId="7">
    <w:name w:val="heading 4"/>
    <w:basedOn w:val="1"/>
    <w:next w:val="1"/>
    <w:link w:val="96"/>
    <w:autoRedefine/>
    <w:qFormat/>
    <w:uiPriority w:val="99"/>
    <w:pPr>
      <w:keepNext/>
      <w:keepLines/>
      <w:widowControl w:val="0"/>
      <w:spacing w:before="280" w:after="290" w:line="374" w:lineRule="auto"/>
      <w:jc w:val="both"/>
      <w:outlineLvl w:val="3"/>
    </w:pPr>
    <w:rPr>
      <w:rFonts w:ascii="Arial" w:hAnsi="Arial" w:eastAsia="黑体" w:cs="Times New Roman"/>
      <w:b/>
      <w:bCs/>
      <w:sz w:val="28"/>
      <w:szCs w:val="28"/>
    </w:rPr>
  </w:style>
  <w:style w:type="paragraph" w:styleId="8">
    <w:name w:val="heading 5"/>
    <w:basedOn w:val="1"/>
    <w:next w:val="1"/>
    <w:link w:val="97"/>
    <w:qFormat/>
    <w:uiPriority w:val="99"/>
    <w:pPr>
      <w:keepNext/>
      <w:keepLines/>
      <w:widowControl w:val="0"/>
      <w:spacing w:before="280" w:after="290" w:line="372" w:lineRule="auto"/>
      <w:jc w:val="both"/>
      <w:outlineLvl w:val="4"/>
    </w:pPr>
    <w:rPr>
      <w:rFonts w:ascii="Times New Roman" w:hAnsi="Times New Roman" w:cs="Times New Roman"/>
      <w:b/>
      <w:sz w:val="28"/>
      <w:szCs w:val="20"/>
    </w:rPr>
  </w:style>
  <w:style w:type="paragraph" w:styleId="9">
    <w:name w:val="heading 6"/>
    <w:basedOn w:val="1"/>
    <w:next w:val="1"/>
    <w:link w:val="98"/>
    <w:autoRedefine/>
    <w:qFormat/>
    <w:uiPriority w:val="99"/>
    <w:pPr>
      <w:keepNext/>
      <w:keepLines/>
      <w:tabs>
        <w:tab w:val="left" w:pos="1440"/>
      </w:tabs>
      <w:spacing w:before="240" w:after="64" w:line="319" w:lineRule="auto"/>
      <w:ind w:left="1152" w:hanging="1152"/>
      <w:outlineLvl w:val="5"/>
    </w:pPr>
    <w:rPr>
      <w:rFonts w:ascii="Arial" w:hAnsi="Arial" w:eastAsia="黑体" w:cs="Times New Roman"/>
      <w:b/>
      <w:bCs/>
    </w:rPr>
  </w:style>
  <w:style w:type="paragraph" w:styleId="10">
    <w:name w:val="heading 7"/>
    <w:basedOn w:val="1"/>
    <w:next w:val="1"/>
    <w:link w:val="99"/>
    <w:qFormat/>
    <w:uiPriority w:val="99"/>
    <w:pPr>
      <w:keepNext/>
      <w:keepLines/>
      <w:tabs>
        <w:tab w:val="left" w:pos="2520"/>
      </w:tabs>
      <w:spacing w:before="240" w:after="64" w:line="319" w:lineRule="auto"/>
      <w:ind w:left="1296" w:hanging="1296"/>
      <w:outlineLvl w:val="6"/>
    </w:pPr>
    <w:rPr>
      <w:rFonts w:ascii="Times New Roman" w:hAnsi="Times New Roman" w:cs="Times New Roman"/>
      <w:b/>
      <w:bCs/>
    </w:rPr>
  </w:style>
  <w:style w:type="paragraph" w:styleId="11">
    <w:name w:val="heading 8"/>
    <w:basedOn w:val="1"/>
    <w:next w:val="1"/>
    <w:link w:val="100"/>
    <w:autoRedefine/>
    <w:qFormat/>
    <w:uiPriority w:val="99"/>
    <w:pPr>
      <w:keepNext/>
      <w:keepLines/>
      <w:tabs>
        <w:tab w:val="left" w:pos="1440"/>
      </w:tabs>
      <w:spacing w:before="240" w:after="64" w:line="319" w:lineRule="auto"/>
      <w:ind w:left="1440" w:hanging="1440"/>
      <w:outlineLvl w:val="7"/>
    </w:pPr>
    <w:rPr>
      <w:rFonts w:ascii="Arial" w:hAnsi="Arial" w:eastAsia="黑体" w:cs="Times New Roman"/>
    </w:rPr>
  </w:style>
  <w:style w:type="paragraph" w:styleId="12">
    <w:name w:val="heading 9"/>
    <w:basedOn w:val="1"/>
    <w:next w:val="1"/>
    <w:link w:val="101"/>
    <w:qFormat/>
    <w:uiPriority w:val="99"/>
    <w:pPr>
      <w:keepNext/>
      <w:keepLines/>
      <w:tabs>
        <w:tab w:val="left" w:pos="1584"/>
      </w:tabs>
      <w:spacing w:before="240" w:after="64" w:line="319" w:lineRule="auto"/>
      <w:ind w:left="1584" w:hanging="1584"/>
      <w:outlineLvl w:val="8"/>
    </w:pPr>
    <w:rPr>
      <w:rFonts w:ascii="Arial" w:hAnsi="Arial" w:eastAsia="黑体" w:cs="Times New Roman"/>
      <w:sz w:val="20"/>
      <w:szCs w:val="21"/>
    </w:rPr>
  </w:style>
  <w:style w:type="character" w:default="1" w:styleId="48">
    <w:name w:val="Default Paragraph Font"/>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link w:val="92"/>
    <w:autoRedefine/>
    <w:qFormat/>
    <w:uiPriority w:val="99"/>
    <w:pPr>
      <w:ind w:firstLine="420" w:firstLineChars="200"/>
    </w:pPr>
  </w:style>
  <w:style w:type="paragraph" w:styleId="3">
    <w:name w:val="Body Text Indent"/>
    <w:basedOn w:val="1"/>
    <w:link w:val="91"/>
    <w:autoRedefine/>
    <w:qFormat/>
    <w:uiPriority w:val="99"/>
    <w:pPr>
      <w:widowControl w:val="0"/>
      <w:spacing w:after="120"/>
      <w:ind w:left="420" w:leftChars="200"/>
      <w:jc w:val="both"/>
    </w:pPr>
    <w:rPr>
      <w:rFonts w:ascii="Times New Roman" w:hAnsi="Times New Roman" w:cs="Times New Roman"/>
    </w:rPr>
  </w:style>
  <w:style w:type="paragraph" w:styleId="13">
    <w:name w:val="toc 7"/>
    <w:basedOn w:val="1"/>
    <w:next w:val="1"/>
    <w:autoRedefine/>
    <w:qFormat/>
    <w:uiPriority w:val="99"/>
    <w:pPr>
      <w:widowControl w:val="0"/>
      <w:ind w:left="2520" w:leftChars="1200"/>
      <w:jc w:val="both"/>
    </w:pPr>
    <w:rPr>
      <w:rFonts w:ascii="Calibri" w:hAnsi="Calibri" w:cs="Times New Roman"/>
      <w:kern w:val="2"/>
      <w:sz w:val="21"/>
      <w:szCs w:val="22"/>
    </w:rPr>
  </w:style>
  <w:style w:type="paragraph" w:styleId="14">
    <w:name w:val="Normal Indent"/>
    <w:basedOn w:val="1"/>
    <w:link w:val="102"/>
    <w:autoRedefine/>
    <w:qFormat/>
    <w:uiPriority w:val="99"/>
    <w:pPr>
      <w:widowControl w:val="0"/>
      <w:ind w:firstLine="420" w:firstLineChars="200"/>
      <w:jc w:val="both"/>
    </w:pPr>
    <w:rPr>
      <w:rFonts w:cs="Times New Roman"/>
      <w:szCs w:val="20"/>
    </w:rPr>
  </w:style>
  <w:style w:type="paragraph" w:styleId="15">
    <w:name w:val="caption"/>
    <w:basedOn w:val="1"/>
    <w:next w:val="1"/>
    <w:autoRedefine/>
    <w:qFormat/>
    <w:uiPriority w:val="99"/>
    <w:pPr>
      <w:widowControl w:val="0"/>
      <w:jc w:val="both"/>
    </w:pPr>
    <w:rPr>
      <w:rFonts w:ascii="Cambria" w:hAnsi="Cambria" w:eastAsia="黑体" w:cs="Times New Roman"/>
      <w:kern w:val="2"/>
      <w:sz w:val="20"/>
      <w:szCs w:val="20"/>
    </w:rPr>
  </w:style>
  <w:style w:type="paragraph" w:styleId="16">
    <w:name w:val="Document Map"/>
    <w:basedOn w:val="1"/>
    <w:link w:val="103"/>
    <w:autoRedefine/>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104"/>
    <w:autoRedefine/>
    <w:qFormat/>
    <w:uiPriority w:val="99"/>
    <w:pPr>
      <w:widowControl w:val="0"/>
    </w:pPr>
    <w:rPr>
      <w:rFonts w:ascii="Calibri" w:hAnsi="Calibri" w:cs="Times New Roman"/>
    </w:rPr>
  </w:style>
  <w:style w:type="paragraph" w:styleId="18">
    <w:name w:val="Salutation"/>
    <w:basedOn w:val="1"/>
    <w:next w:val="1"/>
    <w:link w:val="105"/>
    <w:autoRedefine/>
    <w:qFormat/>
    <w:uiPriority w:val="99"/>
    <w:pPr>
      <w:widowControl w:val="0"/>
      <w:jc w:val="both"/>
    </w:pPr>
    <w:rPr>
      <w:rFonts w:ascii="Times New Roman" w:hAnsi="Times New Roman" w:cs="Times New Roman"/>
      <w:sz w:val="28"/>
    </w:rPr>
  </w:style>
  <w:style w:type="paragraph" w:styleId="19">
    <w:name w:val="Body Text 3"/>
    <w:basedOn w:val="1"/>
    <w:link w:val="106"/>
    <w:autoRedefine/>
    <w:qFormat/>
    <w:uiPriority w:val="99"/>
    <w:pPr>
      <w:widowControl w:val="0"/>
      <w:jc w:val="both"/>
    </w:pPr>
    <w:rPr>
      <w:rFonts w:hAnsi="Times New Roman" w:cs="Times New Roman"/>
      <w:sz w:val="20"/>
      <w:szCs w:val="20"/>
    </w:rPr>
  </w:style>
  <w:style w:type="paragraph" w:styleId="20">
    <w:name w:val="Body Text"/>
    <w:basedOn w:val="1"/>
    <w:link w:val="107"/>
    <w:autoRedefine/>
    <w:qFormat/>
    <w:uiPriority w:val="99"/>
    <w:pPr>
      <w:widowControl w:val="0"/>
      <w:spacing w:after="120"/>
      <w:jc w:val="both"/>
    </w:pPr>
    <w:rPr>
      <w:rFonts w:ascii="Times New Roman" w:hAnsi="Times New Roman" w:cs="Times New Roman"/>
    </w:rPr>
  </w:style>
  <w:style w:type="paragraph" w:styleId="21">
    <w:name w:val="List 2"/>
    <w:basedOn w:val="1"/>
    <w:autoRedefine/>
    <w:qFormat/>
    <w:uiPriority w:val="99"/>
    <w:pPr>
      <w:widowControl w:val="0"/>
      <w:ind w:left="100" w:leftChars="200" w:hanging="200" w:hangingChars="200"/>
      <w:jc w:val="both"/>
    </w:pPr>
    <w:rPr>
      <w:rFonts w:ascii="Times New Roman" w:hAnsi="Times New Roman" w:cs="Times New Roman"/>
      <w:kern w:val="2"/>
      <w:sz w:val="21"/>
    </w:rPr>
  </w:style>
  <w:style w:type="paragraph" w:styleId="22">
    <w:name w:val="index 4"/>
    <w:basedOn w:val="1"/>
    <w:next w:val="1"/>
    <w:autoRedefine/>
    <w:qFormat/>
    <w:uiPriority w:val="99"/>
    <w:pPr>
      <w:widowControl w:val="0"/>
      <w:ind w:left="600" w:leftChars="600"/>
      <w:jc w:val="both"/>
    </w:pPr>
    <w:rPr>
      <w:rFonts w:ascii="Times New Roman" w:hAnsi="Times New Roman" w:cs="Times New Roman"/>
      <w:kern w:val="2"/>
      <w:sz w:val="21"/>
    </w:rPr>
  </w:style>
  <w:style w:type="paragraph" w:styleId="23">
    <w:name w:val="toc 5"/>
    <w:basedOn w:val="1"/>
    <w:next w:val="1"/>
    <w:autoRedefine/>
    <w:qFormat/>
    <w:uiPriority w:val="99"/>
    <w:pPr>
      <w:widowControl w:val="0"/>
      <w:ind w:left="1680" w:leftChars="800"/>
      <w:jc w:val="both"/>
    </w:pPr>
    <w:rPr>
      <w:rFonts w:ascii="Times New Roman" w:hAnsi="Times New Roman" w:cs="Times New Roman"/>
      <w:kern w:val="2"/>
      <w:sz w:val="21"/>
      <w:szCs w:val="20"/>
    </w:rPr>
  </w:style>
  <w:style w:type="paragraph" w:styleId="24">
    <w:name w:val="toc 3"/>
    <w:basedOn w:val="1"/>
    <w:next w:val="1"/>
    <w:autoRedefine/>
    <w:qFormat/>
    <w:uiPriority w:val="99"/>
    <w:pPr>
      <w:widowControl w:val="0"/>
      <w:ind w:left="840" w:leftChars="400"/>
      <w:jc w:val="both"/>
    </w:pPr>
    <w:rPr>
      <w:rFonts w:ascii="Times New Roman" w:hAnsi="Times New Roman" w:cs="Times New Roman"/>
      <w:kern w:val="2"/>
      <w:sz w:val="21"/>
      <w:szCs w:val="20"/>
    </w:rPr>
  </w:style>
  <w:style w:type="paragraph" w:styleId="25">
    <w:name w:val="Plain Text"/>
    <w:basedOn w:val="1"/>
    <w:link w:val="108"/>
    <w:autoRedefine/>
    <w:qFormat/>
    <w:uiPriority w:val="99"/>
    <w:pPr>
      <w:widowControl w:val="0"/>
      <w:jc w:val="both"/>
    </w:pPr>
    <w:rPr>
      <w:rFonts w:hAnsi="Courier New" w:cs="Times New Roman"/>
      <w:sz w:val="20"/>
      <w:szCs w:val="20"/>
    </w:rPr>
  </w:style>
  <w:style w:type="paragraph" w:styleId="26">
    <w:name w:val="toc 8"/>
    <w:basedOn w:val="1"/>
    <w:next w:val="1"/>
    <w:autoRedefine/>
    <w:qFormat/>
    <w:uiPriority w:val="99"/>
    <w:pPr>
      <w:widowControl w:val="0"/>
      <w:ind w:left="2940" w:leftChars="1400"/>
      <w:jc w:val="both"/>
    </w:pPr>
    <w:rPr>
      <w:rFonts w:ascii="Calibri" w:hAnsi="Calibri" w:cs="Times New Roman"/>
      <w:kern w:val="2"/>
      <w:sz w:val="21"/>
      <w:szCs w:val="22"/>
    </w:rPr>
  </w:style>
  <w:style w:type="paragraph" w:styleId="27">
    <w:name w:val="Date"/>
    <w:basedOn w:val="1"/>
    <w:next w:val="1"/>
    <w:link w:val="109"/>
    <w:autoRedefine/>
    <w:qFormat/>
    <w:uiPriority w:val="99"/>
    <w:pPr>
      <w:widowControl w:val="0"/>
      <w:ind w:left="100" w:leftChars="2500"/>
      <w:jc w:val="both"/>
    </w:pPr>
    <w:rPr>
      <w:rFonts w:ascii="Times New Roman" w:hAnsi="Times New Roman" w:cs="Times New Roman"/>
    </w:rPr>
  </w:style>
  <w:style w:type="paragraph" w:styleId="28">
    <w:name w:val="Body Text Indent 2"/>
    <w:basedOn w:val="1"/>
    <w:link w:val="110"/>
    <w:autoRedefine/>
    <w:qFormat/>
    <w:uiPriority w:val="99"/>
    <w:pPr>
      <w:widowControl w:val="0"/>
      <w:spacing w:after="120" w:line="480" w:lineRule="auto"/>
      <w:ind w:left="420" w:leftChars="200"/>
      <w:jc w:val="both"/>
    </w:pPr>
    <w:rPr>
      <w:rFonts w:ascii="Times New Roman" w:hAnsi="Times New Roman" w:cs="Times New Roman"/>
    </w:rPr>
  </w:style>
  <w:style w:type="paragraph" w:styleId="29">
    <w:name w:val="Balloon Text"/>
    <w:basedOn w:val="1"/>
    <w:link w:val="111"/>
    <w:autoRedefine/>
    <w:qFormat/>
    <w:uiPriority w:val="99"/>
    <w:pPr>
      <w:widowControl w:val="0"/>
      <w:jc w:val="both"/>
    </w:pPr>
    <w:rPr>
      <w:rFonts w:ascii="Calibri" w:hAnsi="Calibri" w:cs="Times New Roman"/>
      <w:sz w:val="18"/>
      <w:szCs w:val="18"/>
    </w:rPr>
  </w:style>
  <w:style w:type="paragraph" w:styleId="30">
    <w:name w:val="footer"/>
    <w:basedOn w:val="1"/>
    <w:link w:val="112"/>
    <w:autoRedefine/>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31">
    <w:name w:val="header"/>
    <w:basedOn w:val="1"/>
    <w:link w:val="113"/>
    <w:autoRedefine/>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2">
    <w:name w:val="toc 1"/>
    <w:basedOn w:val="1"/>
    <w:next w:val="1"/>
    <w:autoRedefine/>
    <w:qFormat/>
    <w:uiPriority w:val="99"/>
    <w:pPr>
      <w:widowControl w:val="0"/>
      <w:tabs>
        <w:tab w:val="right" w:leader="dot" w:pos="8296"/>
      </w:tabs>
      <w:spacing w:line="440" w:lineRule="exact"/>
      <w:jc w:val="both"/>
    </w:pPr>
    <w:rPr>
      <w:rFonts w:ascii="Times New Roman" w:hAnsi="Times New Roman" w:cs="Times New Roman"/>
      <w:kern w:val="2"/>
      <w:sz w:val="21"/>
      <w:szCs w:val="20"/>
    </w:rPr>
  </w:style>
  <w:style w:type="paragraph" w:styleId="33">
    <w:name w:val="toc 4"/>
    <w:basedOn w:val="1"/>
    <w:next w:val="1"/>
    <w:autoRedefine/>
    <w:qFormat/>
    <w:uiPriority w:val="99"/>
    <w:pPr>
      <w:widowControl w:val="0"/>
      <w:tabs>
        <w:tab w:val="left" w:pos="1890"/>
        <w:tab w:val="right" w:leader="dot" w:pos="8296"/>
      </w:tabs>
      <w:ind w:left="630" w:leftChars="300"/>
      <w:jc w:val="both"/>
    </w:pPr>
    <w:rPr>
      <w:rFonts w:ascii="Calibri" w:hAnsi="Calibri" w:cs="Times New Roman"/>
      <w:kern w:val="2"/>
      <w:sz w:val="21"/>
      <w:szCs w:val="22"/>
    </w:rPr>
  </w:style>
  <w:style w:type="paragraph" w:styleId="34">
    <w:name w:val="Subtitle"/>
    <w:basedOn w:val="1"/>
    <w:next w:val="1"/>
    <w:link w:val="114"/>
    <w:autoRedefine/>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35">
    <w:name w:val="footnote text"/>
    <w:basedOn w:val="1"/>
    <w:link w:val="115"/>
    <w:autoRedefine/>
    <w:qFormat/>
    <w:uiPriority w:val="99"/>
    <w:pPr>
      <w:widowControl w:val="0"/>
      <w:jc w:val="both"/>
    </w:pPr>
    <w:rPr>
      <w:rFonts w:ascii="Times New Roman" w:hAnsi="Times New Roman" w:cs="Times New Roman"/>
      <w:sz w:val="20"/>
      <w:szCs w:val="20"/>
    </w:rPr>
  </w:style>
  <w:style w:type="paragraph" w:styleId="36">
    <w:name w:val="toc 6"/>
    <w:basedOn w:val="1"/>
    <w:next w:val="1"/>
    <w:autoRedefine/>
    <w:qFormat/>
    <w:uiPriority w:val="99"/>
    <w:pPr>
      <w:widowControl w:val="0"/>
      <w:ind w:left="2100" w:leftChars="1000"/>
      <w:jc w:val="both"/>
    </w:pPr>
    <w:rPr>
      <w:rFonts w:ascii="Calibri" w:hAnsi="Calibri" w:cs="Times New Roman"/>
      <w:kern w:val="2"/>
      <w:sz w:val="21"/>
      <w:szCs w:val="22"/>
    </w:rPr>
  </w:style>
  <w:style w:type="paragraph" w:styleId="37">
    <w:name w:val="Body Text Indent 3"/>
    <w:basedOn w:val="1"/>
    <w:link w:val="116"/>
    <w:autoRedefine/>
    <w:qFormat/>
    <w:uiPriority w:val="99"/>
    <w:pPr>
      <w:widowControl w:val="0"/>
      <w:spacing w:after="120"/>
      <w:ind w:left="420" w:leftChars="200"/>
      <w:jc w:val="both"/>
    </w:pPr>
    <w:rPr>
      <w:rFonts w:ascii="Times New Roman" w:hAnsi="Times New Roman" w:cs="Times New Roman"/>
      <w:sz w:val="16"/>
      <w:szCs w:val="16"/>
    </w:rPr>
  </w:style>
  <w:style w:type="paragraph" w:styleId="38">
    <w:name w:val="toc 2"/>
    <w:basedOn w:val="1"/>
    <w:next w:val="1"/>
    <w:autoRedefine/>
    <w:qFormat/>
    <w:uiPriority w:val="99"/>
    <w:pPr>
      <w:widowControl w:val="0"/>
      <w:ind w:left="420" w:leftChars="200"/>
      <w:jc w:val="both"/>
    </w:pPr>
    <w:rPr>
      <w:rFonts w:ascii="Times New Roman" w:hAnsi="Times New Roman" w:cs="Times New Roman"/>
      <w:kern w:val="2"/>
      <w:sz w:val="21"/>
      <w:szCs w:val="20"/>
    </w:rPr>
  </w:style>
  <w:style w:type="paragraph" w:styleId="39">
    <w:name w:val="toc 9"/>
    <w:basedOn w:val="1"/>
    <w:next w:val="1"/>
    <w:autoRedefine/>
    <w:qFormat/>
    <w:uiPriority w:val="99"/>
    <w:pPr>
      <w:widowControl w:val="0"/>
      <w:ind w:left="3360" w:leftChars="1600"/>
      <w:jc w:val="both"/>
    </w:pPr>
    <w:rPr>
      <w:rFonts w:ascii="Calibri" w:hAnsi="Calibri" w:cs="Times New Roman"/>
      <w:kern w:val="2"/>
      <w:sz w:val="21"/>
      <w:szCs w:val="22"/>
    </w:rPr>
  </w:style>
  <w:style w:type="paragraph" w:styleId="40">
    <w:name w:val="Body Text 2"/>
    <w:basedOn w:val="1"/>
    <w:link w:val="117"/>
    <w:autoRedefine/>
    <w:qFormat/>
    <w:uiPriority w:val="99"/>
    <w:pPr>
      <w:widowControl w:val="0"/>
    </w:pPr>
    <w:rPr>
      <w:rFonts w:hAnsi="Calibri" w:cs="Times New Roman"/>
      <w:color w:val="000000"/>
      <w:sz w:val="18"/>
      <w:szCs w:val="18"/>
    </w:rPr>
  </w:style>
  <w:style w:type="paragraph" w:styleId="41">
    <w:name w:val="List Continue 2"/>
    <w:basedOn w:val="1"/>
    <w:autoRedefine/>
    <w:qFormat/>
    <w:uiPriority w:val="99"/>
    <w:pPr>
      <w:widowControl w:val="0"/>
      <w:spacing w:after="120"/>
      <w:ind w:left="840" w:leftChars="400"/>
      <w:jc w:val="both"/>
    </w:pPr>
    <w:rPr>
      <w:rFonts w:ascii="Times New Roman" w:hAnsi="Times New Roman" w:cs="Times New Roman"/>
      <w:kern w:val="2"/>
      <w:sz w:val="21"/>
      <w:szCs w:val="20"/>
    </w:rPr>
  </w:style>
  <w:style w:type="paragraph" w:styleId="42">
    <w:name w:val="Normal (Web)"/>
    <w:basedOn w:val="1"/>
    <w:autoRedefine/>
    <w:qFormat/>
    <w:uiPriority w:val="99"/>
    <w:pPr>
      <w:spacing w:before="100" w:beforeAutospacing="1" w:after="100" w:afterAutospacing="1"/>
    </w:pPr>
  </w:style>
  <w:style w:type="paragraph" w:styleId="43">
    <w:name w:val="index 1"/>
    <w:basedOn w:val="1"/>
    <w:next w:val="1"/>
    <w:autoRedefine/>
    <w:qFormat/>
    <w:uiPriority w:val="99"/>
    <w:pPr>
      <w:widowControl w:val="0"/>
      <w:spacing w:line="220" w:lineRule="exact"/>
      <w:jc w:val="center"/>
    </w:pPr>
    <w:rPr>
      <w:rFonts w:ascii="仿宋_GB2312" w:hAnsi="Times New Roman" w:eastAsia="仿宋_GB2312" w:cs="Times New Roman"/>
      <w:kern w:val="2"/>
      <w:sz w:val="21"/>
      <w:szCs w:val="20"/>
    </w:rPr>
  </w:style>
  <w:style w:type="paragraph" w:styleId="44">
    <w:name w:val="Title"/>
    <w:basedOn w:val="1"/>
    <w:link w:val="118"/>
    <w:autoRedefine/>
    <w:qFormat/>
    <w:uiPriority w:val="99"/>
    <w:pPr>
      <w:widowControl w:val="0"/>
      <w:adjustRightInd w:val="0"/>
      <w:spacing w:before="240" w:after="60" w:line="420" w:lineRule="atLeast"/>
      <w:jc w:val="center"/>
      <w:outlineLvl w:val="0"/>
    </w:pPr>
    <w:rPr>
      <w:rFonts w:ascii="Arial" w:hAnsi="Arial" w:cs="Times New Roman"/>
      <w:b/>
      <w:sz w:val="32"/>
      <w:szCs w:val="20"/>
    </w:rPr>
  </w:style>
  <w:style w:type="paragraph" w:styleId="45">
    <w:name w:val="annotation subject"/>
    <w:basedOn w:val="17"/>
    <w:next w:val="17"/>
    <w:link w:val="119"/>
    <w:autoRedefine/>
    <w:qFormat/>
    <w:uiPriority w:val="99"/>
    <w:rPr>
      <w:b/>
      <w:bCs/>
    </w:rPr>
  </w:style>
  <w:style w:type="table" w:styleId="47">
    <w:name w:val="Table Grid"/>
    <w:basedOn w:val="4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99"/>
    <w:rPr>
      <w:rFonts w:cs="Times New Roman"/>
      <w:b/>
    </w:rPr>
  </w:style>
  <w:style w:type="character" w:styleId="50">
    <w:name w:val="page number"/>
    <w:autoRedefine/>
    <w:qFormat/>
    <w:uiPriority w:val="0"/>
    <w:rPr>
      <w:rFonts w:cs="Times New Roman"/>
    </w:rPr>
  </w:style>
  <w:style w:type="character" w:styleId="51">
    <w:name w:val="FollowedHyperlink"/>
    <w:autoRedefine/>
    <w:qFormat/>
    <w:uiPriority w:val="99"/>
    <w:rPr>
      <w:rFonts w:cs="Times New Roman"/>
      <w:color w:val="800080"/>
      <w:u w:val="single"/>
    </w:rPr>
  </w:style>
  <w:style w:type="character" w:styleId="52">
    <w:name w:val="Hyperlink"/>
    <w:autoRedefine/>
    <w:qFormat/>
    <w:uiPriority w:val="99"/>
    <w:rPr>
      <w:rFonts w:cs="Times New Roman"/>
      <w:color w:val="0000FF"/>
      <w:u w:val="single"/>
    </w:rPr>
  </w:style>
  <w:style w:type="character" w:styleId="53">
    <w:name w:val="annotation reference"/>
    <w:autoRedefine/>
    <w:qFormat/>
    <w:uiPriority w:val="99"/>
    <w:rPr>
      <w:rFonts w:cs="Times New Roman"/>
      <w:sz w:val="21"/>
      <w:szCs w:val="21"/>
    </w:rPr>
  </w:style>
  <w:style w:type="character" w:styleId="54">
    <w:name w:val="footnote reference"/>
    <w:autoRedefine/>
    <w:qFormat/>
    <w:uiPriority w:val="99"/>
    <w:rPr>
      <w:rFonts w:cs="Times New Roman"/>
      <w:vertAlign w:val="superscript"/>
    </w:rPr>
  </w:style>
  <w:style w:type="paragraph" w:customStyle="1" w:styleId="55">
    <w:name w:val="一级"/>
    <w:basedOn w:val="56"/>
    <w:link w:val="135"/>
    <w:autoRedefine/>
    <w:qFormat/>
    <w:uiPriority w:val="0"/>
    <w:pPr>
      <w:widowControl w:val="0"/>
      <w:jc w:val="center"/>
      <w:outlineLvl w:val="0"/>
    </w:pPr>
    <w:rPr>
      <w:rFonts w:ascii="宋体" w:hAnsi="宋体" w:eastAsia="宋体"/>
      <w:kern w:val="0"/>
      <w:sz w:val="32"/>
      <w:szCs w:val="32"/>
    </w:rPr>
  </w:style>
  <w:style w:type="paragraph" w:customStyle="1" w:styleId="56">
    <w:name w:val="样式2"/>
    <w:basedOn w:val="1"/>
    <w:link w:val="136"/>
    <w:autoRedefine/>
    <w:qFormat/>
    <w:uiPriority w:val="0"/>
    <w:pPr>
      <w:widowControl w:val="0"/>
      <w:spacing w:beforeLines="50" w:line="360" w:lineRule="auto"/>
      <w:jc w:val="center"/>
      <w:outlineLvl w:val="0"/>
    </w:pPr>
    <w:rPr>
      <w:rFonts w:ascii="Times New Roman" w:hAnsi="Times New Roman" w:eastAsia="黑体" w:cs="Times New Roman"/>
      <w:b/>
      <w:kern w:val="2"/>
      <w:sz w:val="44"/>
      <w:szCs w:val="44"/>
    </w:rPr>
  </w:style>
  <w:style w:type="paragraph" w:customStyle="1" w:styleId="57">
    <w:name w:val="标题5"/>
    <w:basedOn w:val="6"/>
    <w:link w:val="140"/>
    <w:autoRedefine/>
    <w:qFormat/>
    <w:uiPriority w:val="99"/>
    <w:pPr>
      <w:spacing w:line="412" w:lineRule="auto"/>
    </w:pPr>
    <w:rPr>
      <w:rFonts w:ascii="Arial" w:hAnsi="Arial"/>
      <w:bCs w:val="0"/>
      <w:szCs w:val="20"/>
    </w:rPr>
  </w:style>
  <w:style w:type="paragraph" w:customStyle="1" w:styleId="58">
    <w:name w:val="三级"/>
    <w:basedOn w:val="59"/>
    <w:link w:val="145"/>
    <w:autoRedefine/>
    <w:qFormat/>
    <w:uiPriority w:val="0"/>
    <w:pPr>
      <w:widowControl w:val="0"/>
      <w:tabs>
        <w:tab w:val="left" w:pos="851"/>
      </w:tabs>
      <w:spacing w:after="80" w:line="360" w:lineRule="auto"/>
      <w:ind w:left="851" w:hanging="851"/>
      <w:jc w:val="both"/>
      <w:outlineLvl w:val="3"/>
    </w:pPr>
    <w:rPr>
      <w:rFonts w:ascii="宋体" w:hAnsi="宋体" w:eastAsia="宋体"/>
      <w:szCs w:val="24"/>
    </w:rPr>
  </w:style>
  <w:style w:type="paragraph" w:customStyle="1" w:styleId="59">
    <w:name w:val="A标题4"/>
    <w:basedOn w:val="7"/>
    <w:next w:val="1"/>
    <w:autoRedefine/>
    <w:qFormat/>
    <w:uiPriority w:val="0"/>
    <w:pPr>
      <w:keepNext w:val="0"/>
      <w:keepLines w:val="0"/>
      <w:tabs>
        <w:tab w:val="left" w:pos="851"/>
      </w:tabs>
      <w:spacing w:before="0" w:after="80" w:line="360" w:lineRule="auto"/>
      <w:ind w:left="851" w:hanging="851"/>
    </w:pPr>
    <w:rPr>
      <w:sz w:val="24"/>
    </w:rPr>
  </w:style>
  <w:style w:type="paragraph" w:customStyle="1" w:styleId="60">
    <w:name w:val="样式 标题 2 + Times New Roman 四号 非加粗 段前: 5 磅 段后: 0 磅 行距: 固定值 20..."/>
    <w:basedOn w:val="5"/>
    <w:link w:val="154"/>
    <w:autoRedefine/>
    <w:qFormat/>
    <w:uiPriority w:val="99"/>
    <w:pPr>
      <w:spacing w:before="100" w:after="0" w:line="400" w:lineRule="exact"/>
    </w:pPr>
    <w:rPr>
      <w:rFonts w:ascii="Times New Roman" w:hAnsi="Times New Roman"/>
      <w:b w:val="0"/>
      <w:bCs w:val="0"/>
      <w:sz w:val="20"/>
      <w:szCs w:val="20"/>
    </w:rPr>
  </w:style>
  <w:style w:type="paragraph" w:styleId="61">
    <w:name w:val="Intense Quote"/>
    <w:basedOn w:val="1"/>
    <w:next w:val="1"/>
    <w:link w:val="162"/>
    <w:autoRedefine/>
    <w:qFormat/>
    <w:uiPriority w:val="99"/>
    <w:pPr>
      <w:widowControl w:val="0"/>
      <w:pBdr>
        <w:bottom w:val="single" w:color="4F81BD" w:sz="4" w:space="4"/>
      </w:pBdr>
      <w:spacing w:before="200" w:after="280"/>
      <w:ind w:left="936" w:right="936"/>
      <w:jc w:val="both"/>
    </w:pPr>
    <w:rPr>
      <w:rFonts w:ascii="Calibri" w:hAnsi="Calibri" w:cs="Times New Roman"/>
      <w:b/>
      <w:bCs/>
      <w:i/>
      <w:iCs/>
      <w:color w:val="4F81BD"/>
      <w:sz w:val="20"/>
      <w:szCs w:val="20"/>
    </w:rPr>
  </w:style>
  <w:style w:type="paragraph" w:customStyle="1" w:styleId="62">
    <w:name w:val="正文1"/>
    <w:basedOn w:val="1"/>
    <w:link w:val="163"/>
    <w:autoRedefine/>
    <w:qFormat/>
    <w:uiPriority w:val="99"/>
    <w:pPr>
      <w:widowControl w:val="0"/>
      <w:jc w:val="both"/>
    </w:pPr>
    <w:rPr>
      <w:rFonts w:ascii="Times New Roman" w:hAnsi="Times New Roman" w:cs="Times New Roman"/>
      <w:sz w:val="20"/>
      <w:szCs w:val="20"/>
    </w:rPr>
  </w:style>
  <w:style w:type="paragraph" w:customStyle="1" w:styleId="63">
    <w:name w:val="二级"/>
    <w:basedOn w:val="59"/>
    <w:link w:val="183"/>
    <w:autoRedefine/>
    <w:qFormat/>
    <w:uiPriority w:val="0"/>
    <w:pPr>
      <w:widowControl w:val="0"/>
      <w:spacing w:after="80" w:line="360" w:lineRule="auto"/>
      <w:ind w:left="851" w:hanging="851"/>
      <w:jc w:val="center"/>
      <w:outlineLvl w:val="3"/>
    </w:pPr>
    <w:rPr>
      <w:rFonts w:ascii="宋体" w:hAnsi="宋体" w:eastAsia="宋体"/>
      <w:sz w:val="28"/>
    </w:rPr>
  </w:style>
  <w:style w:type="paragraph" w:styleId="64">
    <w:name w:val="Quote"/>
    <w:basedOn w:val="1"/>
    <w:next w:val="1"/>
    <w:link w:val="188"/>
    <w:autoRedefine/>
    <w:qFormat/>
    <w:uiPriority w:val="99"/>
    <w:pPr>
      <w:widowControl w:val="0"/>
      <w:jc w:val="both"/>
    </w:pPr>
    <w:rPr>
      <w:rFonts w:ascii="Calibri" w:hAnsi="Calibri" w:cs="Times New Roman"/>
      <w:i/>
      <w:iCs/>
      <w:color w:val="000000"/>
      <w:sz w:val="20"/>
      <w:szCs w:val="20"/>
    </w:rPr>
  </w:style>
  <w:style w:type="paragraph" w:customStyle="1" w:styleId="65">
    <w:name w:val="xl29"/>
    <w:basedOn w:val="1"/>
    <w:autoRedefine/>
    <w:qFormat/>
    <w:uiPriority w:val="99"/>
    <w:pPr>
      <w:pBdr>
        <w:bottom w:val="single" w:color="auto" w:sz="4" w:space="0"/>
        <w:right w:val="single" w:color="auto" w:sz="4" w:space="0"/>
      </w:pBdr>
      <w:spacing w:before="100" w:beforeAutospacing="1" w:after="100" w:afterAutospacing="1"/>
      <w:jc w:val="both"/>
      <w:textAlignment w:val="top"/>
    </w:pPr>
    <w:rPr>
      <w:rFonts w:ascii="Arial Unicode MS" w:hAnsi="Arial Unicode MS" w:cs="Times New Roman"/>
    </w:rPr>
  </w:style>
  <w:style w:type="paragraph" w:customStyle="1" w:styleId="6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编号1"/>
    <w:basedOn w:val="14"/>
    <w:autoRedefine/>
    <w:qFormat/>
    <w:uiPriority w:val="99"/>
    <w:pPr>
      <w:numPr>
        <w:ilvl w:val="0"/>
        <w:numId w:val="1"/>
      </w:numPr>
      <w:tabs>
        <w:tab w:val="left" w:pos="720"/>
      </w:tabs>
      <w:adjustRightInd w:val="0"/>
      <w:snapToGrid w:val="0"/>
      <w:spacing w:before="120" w:line="400" w:lineRule="exact"/>
      <w:ind w:left="720" w:firstLine="0" w:firstLineChars="0"/>
    </w:pPr>
    <w:rPr>
      <w:rFonts w:ascii="Times New Roman" w:hAnsi="Times New Roman"/>
    </w:rPr>
  </w:style>
  <w:style w:type="paragraph" w:customStyle="1" w:styleId="68">
    <w:name w:val="Char Char Char Char Char Char Char Char Char Char"/>
    <w:basedOn w:val="1"/>
    <w:autoRedefine/>
    <w:qFormat/>
    <w:uiPriority w:val="99"/>
    <w:pPr>
      <w:widowControl w:val="0"/>
      <w:jc w:val="both"/>
    </w:pPr>
    <w:rPr>
      <w:rFonts w:ascii="Tahoma" w:hAnsi="Tahoma" w:cs="Times New Roman"/>
      <w:kern w:val="2"/>
      <w:szCs w:val="20"/>
    </w:rPr>
  </w:style>
  <w:style w:type="paragraph" w:customStyle="1" w:styleId="69">
    <w:name w:val="标题1 Char Char Char"/>
    <w:basedOn w:val="4"/>
    <w:autoRedefine/>
    <w:qFormat/>
    <w:uiPriority w:val="0"/>
    <w:pPr>
      <w:tabs>
        <w:tab w:val="center" w:pos="4512"/>
        <w:tab w:val="center" w:pos="4606"/>
      </w:tabs>
      <w:adjustRightInd w:val="0"/>
      <w:snapToGrid w:val="0"/>
      <w:spacing w:beforeLines="50" w:after="240"/>
      <w:jc w:val="center"/>
      <w:outlineLvl w:val="1"/>
    </w:pPr>
    <w:rPr>
      <w:rFonts w:ascii="Calibri" w:hAnsi="Calibri"/>
      <w:bCs w:val="0"/>
      <w:sz w:val="28"/>
      <w:szCs w:val="20"/>
    </w:rPr>
  </w:style>
  <w:style w:type="paragraph" w:customStyle="1" w:styleId="70">
    <w:name w:val="Char Char Char Char Char Char Char Char Char Char Char Char Char"/>
    <w:basedOn w:val="1"/>
    <w:autoRedefine/>
    <w:qFormat/>
    <w:uiPriority w:val="99"/>
    <w:pPr>
      <w:widowControl w:val="0"/>
      <w:jc w:val="both"/>
    </w:pPr>
    <w:rPr>
      <w:rFonts w:ascii="Times New Roman" w:hAnsi="Times New Roman" w:cs="Times New Roman"/>
      <w:kern w:val="2"/>
      <w:sz w:val="21"/>
      <w:szCs w:val="20"/>
    </w:rPr>
  </w:style>
  <w:style w:type="paragraph" w:customStyle="1" w:styleId="71">
    <w:name w:val="表格文字"/>
    <w:basedOn w:val="1"/>
    <w:autoRedefine/>
    <w:qFormat/>
    <w:uiPriority w:val="99"/>
    <w:pPr>
      <w:widowControl w:val="0"/>
      <w:adjustRightInd w:val="0"/>
      <w:spacing w:line="420" w:lineRule="atLeast"/>
    </w:pPr>
    <w:rPr>
      <w:rFonts w:ascii="Times New Roman" w:hAnsi="Times New Roman" w:cs="Times New Roman"/>
      <w:sz w:val="21"/>
      <w:szCs w:val="20"/>
    </w:rPr>
  </w:style>
  <w:style w:type="paragraph" w:styleId="72">
    <w:name w:val="List Paragraph"/>
    <w:basedOn w:val="1"/>
    <w:autoRedefine/>
    <w:qFormat/>
    <w:uiPriority w:val="99"/>
    <w:pPr>
      <w:widowControl w:val="0"/>
      <w:ind w:firstLine="420" w:firstLineChars="200"/>
      <w:jc w:val="both"/>
    </w:pPr>
    <w:rPr>
      <w:rFonts w:ascii="Calibri" w:hAnsi="Calibri" w:cs="Times New Roman"/>
      <w:kern w:val="2"/>
      <w:sz w:val="21"/>
      <w:szCs w:val="22"/>
    </w:rPr>
  </w:style>
  <w:style w:type="paragraph" w:customStyle="1" w:styleId="73">
    <w:name w:val="flNote"/>
    <w:basedOn w:val="1"/>
    <w:autoRedefine/>
    <w:qFormat/>
    <w:uiPriority w:val="99"/>
    <w:pPr>
      <w:widowControl w:val="0"/>
      <w:adjustRightInd w:val="0"/>
      <w:spacing w:before="320" w:after="160" w:line="360" w:lineRule="atLeast"/>
      <w:jc w:val="center"/>
    </w:pPr>
    <w:rPr>
      <w:rFonts w:ascii="Arial" w:hAnsi="Times New Roman" w:eastAsia="黑体" w:cs="Times New Roman"/>
      <w:sz w:val="30"/>
      <w:szCs w:val="20"/>
    </w:rPr>
  </w:style>
  <w:style w:type="paragraph" w:customStyle="1" w:styleId="74">
    <w:name w:val="样式 标题 3 + (中文) 黑体 小四 非加粗 段前: 7.8 磅 段后: 0 磅 行距: 固定值 20 磅"/>
    <w:basedOn w:val="6"/>
    <w:autoRedefine/>
    <w:qFormat/>
    <w:uiPriority w:val="99"/>
    <w:pPr>
      <w:spacing w:before="0" w:after="0" w:line="400" w:lineRule="exact"/>
    </w:pPr>
    <w:rPr>
      <w:rFonts w:eastAsia="黑体" w:cs="宋体"/>
      <w:b w:val="0"/>
      <w:bCs w:val="0"/>
      <w:sz w:val="24"/>
      <w:szCs w:val="20"/>
    </w:rPr>
  </w:style>
  <w:style w:type="paragraph" w:customStyle="1" w:styleId="75">
    <w:name w:val="Char"/>
    <w:basedOn w:val="1"/>
    <w:autoRedefine/>
    <w:qFormat/>
    <w:uiPriority w:val="99"/>
    <w:pPr>
      <w:widowControl w:val="0"/>
      <w:jc w:val="both"/>
    </w:pPr>
    <w:rPr>
      <w:rFonts w:ascii="Times New Roman" w:hAnsi="Times New Roman" w:cs="Times New Roman"/>
      <w:kern w:val="2"/>
      <w:sz w:val="21"/>
      <w:szCs w:val="20"/>
    </w:rPr>
  </w:style>
  <w:style w:type="paragraph" w:styleId="76">
    <w:name w:val="No Spacing"/>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Blockquote"/>
    <w:basedOn w:val="1"/>
    <w:autoRedefine/>
    <w:qFormat/>
    <w:uiPriority w:val="99"/>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78">
    <w:name w:val="reader-word-layer"/>
    <w:basedOn w:val="1"/>
    <w:autoRedefine/>
    <w:qFormat/>
    <w:uiPriority w:val="99"/>
    <w:pPr>
      <w:spacing w:before="100" w:beforeAutospacing="1" w:after="100" w:afterAutospacing="1"/>
    </w:pPr>
  </w:style>
  <w:style w:type="paragraph" w:customStyle="1" w:styleId="79">
    <w:name w:val="_Style 78"/>
    <w:basedOn w:val="4"/>
    <w:next w:val="1"/>
    <w:autoRedefine/>
    <w:qFormat/>
    <w:uiPriority w:val="99"/>
    <w:pPr>
      <w:outlineLvl w:val="9"/>
    </w:pPr>
    <w:rPr>
      <w:rFonts w:ascii="Calibri" w:hAnsi="Calibri"/>
    </w:rPr>
  </w:style>
  <w:style w:type="paragraph" w:customStyle="1" w:styleId="80">
    <w:name w:val="p0"/>
    <w:basedOn w:val="1"/>
    <w:autoRedefine/>
    <w:qFormat/>
    <w:uiPriority w:val="99"/>
    <w:pPr>
      <w:jc w:val="both"/>
    </w:pPr>
    <w:rPr>
      <w:rFonts w:ascii="Times New Roman" w:hAnsi="Times New Roman" w:cs="Times New Roman"/>
      <w:sz w:val="21"/>
      <w:szCs w:val="21"/>
    </w:rPr>
  </w:style>
  <w:style w:type="paragraph" w:customStyle="1" w:styleId="81">
    <w:name w:val="样式 正文缩进正文（首行缩进两字）特点ALT+Z表正文正文非缩进四号段1Normal Indent Char2...4"/>
    <w:basedOn w:val="3"/>
    <w:autoRedefine/>
    <w:qFormat/>
    <w:uiPriority w:val="99"/>
    <w:pPr>
      <w:tabs>
        <w:tab w:val="left" w:pos="510"/>
      </w:tabs>
      <w:adjustRightInd w:val="0"/>
      <w:spacing w:line="300" w:lineRule="auto"/>
      <w:ind w:left="0" w:leftChars="0" w:hanging="420"/>
    </w:pPr>
    <w:rPr>
      <w:rFonts w:ascii="Courier New" w:hAnsi="Arial" w:cs="Courier New"/>
      <w:color w:val="000000"/>
      <w:szCs w:val="20"/>
    </w:rPr>
  </w:style>
  <w:style w:type="paragraph" w:customStyle="1" w:styleId="82">
    <w:name w:val="样式1"/>
    <w:basedOn w:val="1"/>
    <w:next w:val="7"/>
    <w:autoRedefine/>
    <w:qFormat/>
    <w:uiPriority w:val="99"/>
    <w:pPr>
      <w:widowControl w:val="0"/>
      <w:spacing w:line="360" w:lineRule="auto"/>
      <w:ind w:firstLine="420" w:firstLineChars="200"/>
      <w:jc w:val="both"/>
    </w:pPr>
    <w:rPr>
      <w:rFonts w:cs="Times New Roman"/>
      <w:kern w:val="2"/>
      <w:sz w:val="21"/>
      <w:szCs w:val="21"/>
    </w:rPr>
  </w:style>
  <w:style w:type="paragraph" w:customStyle="1" w:styleId="83">
    <w:name w:val="默认段落字体 Para Char Char Char Char Char Char Char Char Char1 Char Char Char Char Char Char Char"/>
    <w:basedOn w:val="16"/>
    <w:autoRedefine/>
    <w:qFormat/>
    <w:uiPriority w:val="99"/>
    <w:rPr>
      <w:rFonts w:ascii="Tahoma" w:hAnsi="Tahoma"/>
    </w:rPr>
  </w:style>
  <w:style w:type="paragraph" w:customStyle="1" w:styleId="84">
    <w:name w:val="列出段落1"/>
    <w:basedOn w:val="1"/>
    <w:autoRedefine/>
    <w:qFormat/>
    <w:uiPriority w:val="99"/>
    <w:pPr>
      <w:widowControl w:val="0"/>
      <w:ind w:firstLine="420" w:firstLineChars="200"/>
      <w:jc w:val="both"/>
    </w:pPr>
    <w:rPr>
      <w:rFonts w:ascii="Calibri" w:hAnsi="Calibri" w:cs="Times New Roman"/>
      <w:kern w:val="2"/>
      <w:sz w:val="21"/>
      <w:szCs w:val="22"/>
    </w:rPr>
  </w:style>
  <w:style w:type="paragraph" w:customStyle="1" w:styleId="85">
    <w:name w:val="正文文字编号黑体"/>
    <w:basedOn w:val="1"/>
    <w:autoRedefine/>
    <w:qFormat/>
    <w:uiPriority w:val="99"/>
    <w:pPr>
      <w:widowControl w:val="0"/>
      <w:tabs>
        <w:tab w:val="left" w:pos="1134"/>
      </w:tabs>
      <w:overflowPunct w:val="0"/>
      <w:autoSpaceDE w:val="0"/>
      <w:autoSpaceDN w:val="0"/>
      <w:adjustRightInd w:val="0"/>
      <w:snapToGrid w:val="0"/>
      <w:spacing w:before="120" w:afterLines="50" w:line="360" w:lineRule="exact"/>
      <w:ind w:left="1134" w:hanging="1134"/>
      <w:jc w:val="both"/>
      <w:textAlignment w:val="baseline"/>
    </w:pPr>
    <w:rPr>
      <w:rFonts w:ascii="Times New Roman" w:hAnsi="Times New Roman" w:cs="Times New Roman"/>
      <w:b/>
    </w:rPr>
  </w:style>
  <w:style w:type="paragraph" w:customStyle="1" w:styleId="86">
    <w:name w:val="1"/>
    <w:basedOn w:val="1"/>
    <w:next w:val="1"/>
    <w:autoRedefine/>
    <w:qFormat/>
    <w:uiPriority w:val="99"/>
    <w:pPr>
      <w:widowControl w:val="0"/>
      <w:jc w:val="both"/>
    </w:pPr>
    <w:rPr>
      <w:rFonts w:ascii="Times New Roman" w:hAnsi="Times New Roman" w:cs="Times New Roman"/>
      <w:kern w:val="2"/>
      <w:sz w:val="21"/>
    </w:rPr>
  </w:style>
  <w:style w:type="paragraph" w:customStyle="1" w:styleId="87">
    <w:name w:val="样式 标题 1 + 黑体 三号 非加粗 居中 段前: 6 磅 段后: 6 磅 行距: 固定值 20 磅"/>
    <w:basedOn w:val="4"/>
    <w:autoRedefine/>
    <w:qFormat/>
    <w:uiPriority w:val="99"/>
    <w:pPr>
      <w:spacing w:before="120" w:after="120" w:line="400" w:lineRule="exact"/>
      <w:jc w:val="center"/>
    </w:pPr>
    <w:rPr>
      <w:rFonts w:ascii="黑体" w:hAnsi="黑体" w:eastAsia="黑体" w:cs="宋体"/>
      <w:b w:val="0"/>
      <w:bCs w:val="0"/>
      <w:sz w:val="32"/>
      <w:szCs w:val="20"/>
    </w:rPr>
  </w:style>
  <w:style w:type="paragraph" w:customStyle="1" w:styleId="88">
    <w:name w:val="空半行"/>
    <w:basedOn w:val="1"/>
    <w:autoRedefine/>
    <w:qFormat/>
    <w:uiPriority w:val="99"/>
    <w:pPr>
      <w:widowControl w:val="0"/>
      <w:adjustRightInd w:val="0"/>
      <w:spacing w:line="120" w:lineRule="exact"/>
      <w:jc w:val="both"/>
    </w:pPr>
    <w:rPr>
      <w:rFonts w:ascii="Times New Roman" w:hAnsi="Times New Roman" w:eastAsia="仿宋_GB2312" w:cs="Times New Roman"/>
      <w:color w:val="FFFFFF"/>
      <w:sz w:val="30"/>
      <w:szCs w:val="20"/>
    </w:rPr>
  </w:style>
  <w:style w:type="paragraph" w:customStyle="1" w:styleId="89">
    <w:name w:val="表格"/>
    <w:basedOn w:val="1"/>
    <w:autoRedefine/>
    <w:qFormat/>
    <w:uiPriority w:val="99"/>
    <w:pPr>
      <w:widowControl w:val="0"/>
      <w:jc w:val="center"/>
    </w:pPr>
    <w:rPr>
      <w:rFonts w:ascii="华文细黑" w:hAnsi="华文细黑" w:cs="Times New Roman"/>
      <w:sz w:val="21"/>
      <w:szCs w:val="20"/>
    </w:rPr>
  </w:style>
  <w:style w:type="paragraph" w:customStyle="1" w:styleId="90">
    <w:name w:val="6'"/>
    <w:basedOn w:val="1"/>
    <w:autoRedefine/>
    <w:qFormat/>
    <w:uiPriority w:val="99"/>
    <w:pPr>
      <w:widowControl w:val="0"/>
      <w:autoSpaceDE w:val="0"/>
      <w:autoSpaceDN w:val="0"/>
      <w:adjustRightInd w:val="0"/>
      <w:snapToGrid w:val="0"/>
      <w:spacing w:line="320" w:lineRule="exact"/>
      <w:jc w:val="center"/>
    </w:pPr>
    <w:rPr>
      <w:rFonts w:ascii="Times New Roman" w:hAnsi="Times New Roman" w:cs="Times New Roman"/>
      <w:spacing w:val="20"/>
      <w:kern w:val="28"/>
      <w:sz w:val="21"/>
      <w:szCs w:val="20"/>
    </w:rPr>
  </w:style>
  <w:style w:type="character" w:customStyle="1" w:styleId="91">
    <w:name w:val="正文文本缩进 Char"/>
    <w:link w:val="3"/>
    <w:autoRedefine/>
    <w:qFormat/>
    <w:uiPriority w:val="99"/>
    <w:rPr>
      <w:rFonts w:ascii="Times New Roman" w:hAnsi="Times New Roman" w:eastAsia="宋体" w:cs="Times New Roman"/>
      <w:kern w:val="0"/>
      <w:sz w:val="24"/>
      <w:szCs w:val="24"/>
    </w:rPr>
  </w:style>
  <w:style w:type="character" w:customStyle="1" w:styleId="92">
    <w:name w:val="正文首行缩进 2 Char"/>
    <w:basedOn w:val="91"/>
    <w:link w:val="2"/>
    <w:autoRedefine/>
    <w:qFormat/>
    <w:uiPriority w:val="99"/>
  </w:style>
  <w:style w:type="character" w:customStyle="1" w:styleId="93">
    <w:name w:val="标题 1 Char"/>
    <w:link w:val="4"/>
    <w:autoRedefine/>
    <w:qFormat/>
    <w:uiPriority w:val="99"/>
    <w:rPr>
      <w:rFonts w:ascii="Times New Roman" w:hAnsi="Times New Roman" w:eastAsia="宋体" w:cs="Times New Roman"/>
      <w:b/>
      <w:bCs/>
      <w:kern w:val="44"/>
      <w:sz w:val="44"/>
      <w:szCs w:val="44"/>
    </w:rPr>
  </w:style>
  <w:style w:type="character" w:customStyle="1" w:styleId="94">
    <w:name w:val="标题 2 Char1"/>
    <w:link w:val="5"/>
    <w:autoRedefine/>
    <w:qFormat/>
    <w:locked/>
    <w:uiPriority w:val="99"/>
    <w:rPr>
      <w:rFonts w:ascii="Arial" w:hAnsi="Arial" w:eastAsia="黑体" w:cs="Times New Roman"/>
      <w:b/>
      <w:bCs/>
      <w:sz w:val="32"/>
      <w:szCs w:val="32"/>
    </w:rPr>
  </w:style>
  <w:style w:type="character" w:customStyle="1" w:styleId="95">
    <w:name w:val="标题 3 Char"/>
    <w:link w:val="6"/>
    <w:autoRedefine/>
    <w:qFormat/>
    <w:uiPriority w:val="99"/>
    <w:rPr>
      <w:rFonts w:ascii="宋体" w:hAnsi="宋体" w:eastAsia="宋体" w:cs="宋体"/>
      <w:b/>
      <w:bCs/>
      <w:kern w:val="0"/>
      <w:sz w:val="32"/>
      <w:szCs w:val="32"/>
    </w:rPr>
  </w:style>
  <w:style w:type="character" w:customStyle="1" w:styleId="96">
    <w:name w:val="标题 4 Char"/>
    <w:link w:val="7"/>
    <w:autoRedefine/>
    <w:qFormat/>
    <w:uiPriority w:val="99"/>
    <w:rPr>
      <w:rFonts w:ascii="Arial" w:hAnsi="Arial" w:eastAsia="黑体" w:cs="Times New Roman"/>
      <w:b/>
      <w:bCs/>
      <w:sz w:val="28"/>
      <w:szCs w:val="28"/>
    </w:rPr>
  </w:style>
  <w:style w:type="character" w:customStyle="1" w:styleId="97">
    <w:name w:val="标题 5 Char"/>
    <w:link w:val="8"/>
    <w:autoRedefine/>
    <w:qFormat/>
    <w:uiPriority w:val="99"/>
    <w:rPr>
      <w:rFonts w:ascii="Times New Roman" w:hAnsi="Times New Roman" w:eastAsia="宋体" w:cs="Times New Roman"/>
      <w:b/>
      <w:sz w:val="28"/>
      <w:szCs w:val="20"/>
    </w:rPr>
  </w:style>
  <w:style w:type="character" w:customStyle="1" w:styleId="98">
    <w:name w:val="标题 6 Char"/>
    <w:link w:val="9"/>
    <w:autoRedefine/>
    <w:qFormat/>
    <w:uiPriority w:val="99"/>
    <w:rPr>
      <w:rFonts w:ascii="Arial" w:hAnsi="Arial" w:eastAsia="黑体" w:cs="Times New Roman"/>
      <w:b/>
      <w:bCs/>
      <w:kern w:val="0"/>
      <w:sz w:val="24"/>
      <w:szCs w:val="24"/>
    </w:rPr>
  </w:style>
  <w:style w:type="character" w:customStyle="1" w:styleId="99">
    <w:name w:val="标题 7 Char"/>
    <w:link w:val="10"/>
    <w:autoRedefine/>
    <w:qFormat/>
    <w:uiPriority w:val="99"/>
    <w:rPr>
      <w:rFonts w:ascii="Times New Roman" w:hAnsi="Times New Roman" w:eastAsia="宋体" w:cs="Times New Roman"/>
      <w:b/>
      <w:bCs/>
      <w:kern w:val="0"/>
      <w:sz w:val="24"/>
      <w:szCs w:val="24"/>
    </w:rPr>
  </w:style>
  <w:style w:type="character" w:customStyle="1" w:styleId="100">
    <w:name w:val="标题 8 Char"/>
    <w:link w:val="11"/>
    <w:autoRedefine/>
    <w:qFormat/>
    <w:uiPriority w:val="99"/>
    <w:rPr>
      <w:rFonts w:ascii="Arial" w:hAnsi="Arial" w:eastAsia="黑体" w:cs="Times New Roman"/>
      <w:kern w:val="0"/>
      <w:sz w:val="24"/>
      <w:szCs w:val="24"/>
    </w:rPr>
  </w:style>
  <w:style w:type="character" w:customStyle="1" w:styleId="101">
    <w:name w:val="标题 9 Char"/>
    <w:link w:val="12"/>
    <w:autoRedefine/>
    <w:qFormat/>
    <w:uiPriority w:val="99"/>
    <w:rPr>
      <w:rFonts w:ascii="Arial" w:hAnsi="Arial" w:eastAsia="黑体" w:cs="Times New Roman"/>
      <w:kern w:val="0"/>
      <w:szCs w:val="21"/>
    </w:rPr>
  </w:style>
  <w:style w:type="character" w:customStyle="1" w:styleId="102">
    <w:name w:val="正文缩进 Char"/>
    <w:link w:val="14"/>
    <w:autoRedefine/>
    <w:qFormat/>
    <w:locked/>
    <w:uiPriority w:val="99"/>
    <w:rPr>
      <w:rFonts w:ascii="宋体" w:hAnsi="宋体" w:eastAsia="宋体"/>
      <w:sz w:val="24"/>
    </w:rPr>
  </w:style>
  <w:style w:type="character" w:customStyle="1" w:styleId="103">
    <w:name w:val="文档结构图 Char"/>
    <w:link w:val="16"/>
    <w:autoRedefine/>
    <w:qFormat/>
    <w:uiPriority w:val="99"/>
    <w:rPr>
      <w:rFonts w:ascii="Times New Roman" w:hAnsi="Times New Roman" w:eastAsia="宋体" w:cs="Times New Roman"/>
      <w:kern w:val="0"/>
      <w:sz w:val="24"/>
      <w:szCs w:val="24"/>
      <w:shd w:val="clear" w:color="auto" w:fill="000080"/>
    </w:rPr>
  </w:style>
  <w:style w:type="character" w:customStyle="1" w:styleId="104">
    <w:name w:val="批注文字 Char1"/>
    <w:link w:val="17"/>
    <w:autoRedefine/>
    <w:qFormat/>
    <w:uiPriority w:val="99"/>
    <w:rPr>
      <w:rFonts w:ascii="Calibri" w:hAnsi="Calibri" w:eastAsia="宋体" w:cs="Times New Roman"/>
      <w:kern w:val="0"/>
      <w:sz w:val="24"/>
      <w:szCs w:val="24"/>
    </w:rPr>
  </w:style>
  <w:style w:type="character" w:customStyle="1" w:styleId="105">
    <w:name w:val="称呼 Char"/>
    <w:link w:val="18"/>
    <w:autoRedefine/>
    <w:qFormat/>
    <w:uiPriority w:val="99"/>
    <w:rPr>
      <w:rFonts w:ascii="Times New Roman" w:hAnsi="Times New Roman" w:eastAsia="宋体" w:cs="Times New Roman"/>
      <w:sz w:val="28"/>
      <w:szCs w:val="24"/>
    </w:rPr>
  </w:style>
  <w:style w:type="character" w:customStyle="1" w:styleId="106">
    <w:name w:val="正文文本 3 Char"/>
    <w:link w:val="19"/>
    <w:autoRedefine/>
    <w:qFormat/>
    <w:uiPriority w:val="99"/>
    <w:rPr>
      <w:rFonts w:ascii="宋体" w:hAnsi="Times New Roman" w:eastAsia="宋体" w:cs="Times New Roman"/>
      <w:kern w:val="0"/>
      <w:sz w:val="20"/>
      <w:szCs w:val="20"/>
    </w:rPr>
  </w:style>
  <w:style w:type="character" w:customStyle="1" w:styleId="107">
    <w:name w:val="正文文本 Char"/>
    <w:link w:val="20"/>
    <w:autoRedefine/>
    <w:qFormat/>
    <w:uiPriority w:val="99"/>
    <w:rPr>
      <w:rFonts w:ascii="Times New Roman" w:hAnsi="Times New Roman" w:eastAsia="宋体" w:cs="Times New Roman"/>
      <w:kern w:val="0"/>
      <w:sz w:val="24"/>
      <w:szCs w:val="24"/>
    </w:rPr>
  </w:style>
  <w:style w:type="character" w:customStyle="1" w:styleId="108">
    <w:name w:val="纯文本 Char1"/>
    <w:link w:val="25"/>
    <w:autoRedefine/>
    <w:qFormat/>
    <w:uiPriority w:val="99"/>
    <w:rPr>
      <w:rFonts w:ascii="宋体" w:hAnsi="Courier New" w:eastAsia="宋体" w:cs="Times New Roman"/>
      <w:kern w:val="0"/>
      <w:sz w:val="20"/>
      <w:szCs w:val="20"/>
    </w:rPr>
  </w:style>
  <w:style w:type="character" w:customStyle="1" w:styleId="109">
    <w:name w:val="日期 Char"/>
    <w:link w:val="27"/>
    <w:autoRedefine/>
    <w:qFormat/>
    <w:uiPriority w:val="99"/>
    <w:rPr>
      <w:rFonts w:ascii="Times New Roman" w:hAnsi="Times New Roman" w:eastAsia="宋体" w:cs="Times New Roman"/>
      <w:kern w:val="0"/>
      <w:sz w:val="24"/>
      <w:szCs w:val="24"/>
    </w:rPr>
  </w:style>
  <w:style w:type="character" w:customStyle="1" w:styleId="110">
    <w:name w:val="正文文本缩进 2 Char"/>
    <w:link w:val="28"/>
    <w:autoRedefine/>
    <w:qFormat/>
    <w:uiPriority w:val="99"/>
    <w:rPr>
      <w:rFonts w:ascii="Times New Roman" w:hAnsi="Times New Roman" w:eastAsia="宋体" w:cs="Times New Roman"/>
      <w:kern w:val="0"/>
      <w:sz w:val="24"/>
      <w:szCs w:val="24"/>
    </w:rPr>
  </w:style>
  <w:style w:type="character" w:customStyle="1" w:styleId="111">
    <w:name w:val="批注框文本 Char"/>
    <w:link w:val="29"/>
    <w:autoRedefine/>
    <w:qFormat/>
    <w:uiPriority w:val="99"/>
    <w:rPr>
      <w:rFonts w:ascii="Calibri" w:hAnsi="Calibri" w:eastAsia="宋体" w:cs="Times New Roman"/>
      <w:sz w:val="18"/>
      <w:szCs w:val="18"/>
    </w:rPr>
  </w:style>
  <w:style w:type="character" w:customStyle="1" w:styleId="112">
    <w:name w:val="页脚 Char"/>
    <w:link w:val="30"/>
    <w:autoRedefine/>
    <w:qFormat/>
    <w:uiPriority w:val="99"/>
    <w:rPr>
      <w:sz w:val="18"/>
      <w:szCs w:val="18"/>
    </w:rPr>
  </w:style>
  <w:style w:type="character" w:customStyle="1" w:styleId="113">
    <w:name w:val="页眉 Char"/>
    <w:link w:val="31"/>
    <w:autoRedefine/>
    <w:semiHidden/>
    <w:qFormat/>
    <w:uiPriority w:val="99"/>
    <w:rPr>
      <w:sz w:val="18"/>
      <w:szCs w:val="18"/>
    </w:rPr>
  </w:style>
  <w:style w:type="character" w:customStyle="1" w:styleId="114">
    <w:name w:val="副标题 Char1"/>
    <w:link w:val="34"/>
    <w:autoRedefine/>
    <w:qFormat/>
    <w:uiPriority w:val="99"/>
    <w:rPr>
      <w:rFonts w:ascii="Cambria" w:hAnsi="Cambria" w:eastAsia="宋体" w:cs="Times New Roman"/>
      <w:b/>
      <w:bCs/>
      <w:kern w:val="28"/>
      <w:sz w:val="32"/>
      <w:szCs w:val="32"/>
    </w:rPr>
  </w:style>
  <w:style w:type="character" w:customStyle="1" w:styleId="115">
    <w:name w:val="脚注文本 Char"/>
    <w:link w:val="35"/>
    <w:autoRedefine/>
    <w:qFormat/>
    <w:uiPriority w:val="99"/>
    <w:rPr>
      <w:rFonts w:ascii="Times New Roman" w:hAnsi="Times New Roman" w:eastAsia="宋体" w:cs="Times New Roman"/>
      <w:kern w:val="0"/>
      <w:sz w:val="20"/>
      <w:szCs w:val="20"/>
    </w:rPr>
  </w:style>
  <w:style w:type="character" w:customStyle="1" w:styleId="116">
    <w:name w:val="正文文本缩进 3 Char"/>
    <w:link w:val="37"/>
    <w:autoRedefine/>
    <w:qFormat/>
    <w:uiPriority w:val="99"/>
    <w:rPr>
      <w:rFonts w:ascii="Times New Roman" w:hAnsi="Times New Roman" w:eastAsia="宋体" w:cs="Times New Roman"/>
      <w:kern w:val="0"/>
      <w:sz w:val="16"/>
      <w:szCs w:val="16"/>
    </w:rPr>
  </w:style>
  <w:style w:type="character" w:customStyle="1" w:styleId="117">
    <w:name w:val="正文文本 2 Char1"/>
    <w:link w:val="40"/>
    <w:autoRedefine/>
    <w:qFormat/>
    <w:uiPriority w:val="99"/>
    <w:rPr>
      <w:rFonts w:ascii="宋体" w:hAnsi="Calibri" w:eastAsia="宋体" w:cs="Times New Roman"/>
      <w:color w:val="000000"/>
      <w:kern w:val="0"/>
      <w:sz w:val="18"/>
      <w:szCs w:val="18"/>
    </w:rPr>
  </w:style>
  <w:style w:type="character" w:customStyle="1" w:styleId="118">
    <w:name w:val="标题 Char1"/>
    <w:link w:val="44"/>
    <w:autoRedefine/>
    <w:qFormat/>
    <w:uiPriority w:val="99"/>
    <w:rPr>
      <w:rFonts w:ascii="Arial" w:hAnsi="Arial" w:eastAsia="宋体" w:cs="Times New Roman"/>
      <w:b/>
      <w:kern w:val="0"/>
      <w:sz w:val="32"/>
      <w:szCs w:val="20"/>
    </w:rPr>
  </w:style>
  <w:style w:type="character" w:customStyle="1" w:styleId="119">
    <w:name w:val="批注主题 Char2"/>
    <w:link w:val="45"/>
    <w:autoRedefine/>
    <w:qFormat/>
    <w:uiPriority w:val="99"/>
    <w:rPr>
      <w:rFonts w:ascii="Calibri" w:hAnsi="Calibri" w:eastAsia="宋体" w:cs="Times New Roman"/>
      <w:b/>
      <w:bCs/>
      <w:kern w:val="0"/>
      <w:sz w:val="24"/>
      <w:szCs w:val="24"/>
    </w:rPr>
  </w:style>
  <w:style w:type="character" w:customStyle="1" w:styleId="120">
    <w:name w:val="Document Map Char"/>
    <w:autoRedefine/>
    <w:qFormat/>
    <w:locked/>
    <w:uiPriority w:val="99"/>
    <w:rPr>
      <w:rFonts w:ascii="Times New Roman" w:hAnsi="Times New Roman" w:eastAsia="宋体" w:cs="Times New Roman"/>
      <w:sz w:val="24"/>
      <w:szCs w:val="24"/>
      <w:shd w:val="clear" w:color="auto" w:fill="000080"/>
    </w:rPr>
  </w:style>
  <w:style w:type="character" w:customStyle="1" w:styleId="121">
    <w:name w:val="标题 Char"/>
    <w:autoRedefine/>
    <w:qFormat/>
    <w:uiPriority w:val="99"/>
    <w:rPr>
      <w:rFonts w:ascii="Cambria" w:hAnsi="Cambria" w:eastAsia="宋体" w:cs="Times New Roman"/>
      <w:b/>
      <w:bCs/>
      <w:sz w:val="32"/>
      <w:szCs w:val="32"/>
    </w:rPr>
  </w:style>
  <w:style w:type="character" w:customStyle="1" w:styleId="122">
    <w:name w:val="Char Char12"/>
    <w:autoRedefine/>
    <w:qFormat/>
    <w:locked/>
    <w:uiPriority w:val="99"/>
    <w:rPr>
      <w:rFonts w:ascii="宋体" w:hAnsi="宋体" w:eastAsia="宋体"/>
      <w:kern w:val="2"/>
      <w:sz w:val="24"/>
    </w:rPr>
  </w:style>
  <w:style w:type="character" w:customStyle="1" w:styleId="123">
    <w:name w:val="正文文本 3 Char1"/>
    <w:autoRedefine/>
    <w:qFormat/>
    <w:uiPriority w:val="99"/>
    <w:rPr>
      <w:rFonts w:cs="Times New Roman"/>
      <w:kern w:val="2"/>
      <w:sz w:val="16"/>
      <w:szCs w:val="16"/>
    </w:rPr>
  </w:style>
  <w:style w:type="character" w:customStyle="1" w:styleId="124">
    <w:name w:val="Char Char7"/>
    <w:autoRedefine/>
    <w:qFormat/>
    <w:uiPriority w:val="99"/>
    <w:rPr>
      <w:rFonts w:ascii="Arial" w:hAnsi="Arial" w:eastAsia="黑体"/>
      <w:b/>
      <w:kern w:val="2"/>
      <w:sz w:val="32"/>
      <w:lang w:val="en-US" w:eastAsia="zh-CN"/>
    </w:rPr>
  </w:style>
  <w:style w:type="character" w:customStyle="1" w:styleId="125">
    <w:name w:val="Body Text Indent Char"/>
    <w:autoRedefine/>
    <w:qFormat/>
    <w:locked/>
    <w:uiPriority w:val="99"/>
    <w:rPr>
      <w:rFonts w:ascii="Times New Roman" w:hAnsi="Times New Roman" w:eastAsia="宋体" w:cs="Times New Roman"/>
      <w:sz w:val="24"/>
      <w:szCs w:val="24"/>
    </w:rPr>
  </w:style>
  <w:style w:type="character" w:customStyle="1" w:styleId="126">
    <w:name w:val="正文文本缩进 2 Char1"/>
    <w:autoRedefine/>
    <w:qFormat/>
    <w:uiPriority w:val="99"/>
    <w:rPr>
      <w:rFonts w:cs="Times New Roman"/>
      <w:kern w:val="2"/>
      <w:sz w:val="24"/>
      <w:szCs w:val="24"/>
    </w:rPr>
  </w:style>
  <w:style w:type="character" w:customStyle="1" w:styleId="127">
    <w:name w:val="正文文本 Char1"/>
    <w:autoRedefine/>
    <w:qFormat/>
    <w:uiPriority w:val="99"/>
    <w:rPr>
      <w:kern w:val="2"/>
      <w:sz w:val="22"/>
    </w:rPr>
  </w:style>
  <w:style w:type="character" w:customStyle="1" w:styleId="128">
    <w:name w:val="Char Char3"/>
    <w:autoRedefine/>
    <w:qFormat/>
    <w:locked/>
    <w:uiPriority w:val="99"/>
    <w:rPr>
      <w:rFonts w:ascii="宋体" w:hAnsi="宋体" w:eastAsia="宋体"/>
      <w:kern w:val="2"/>
      <w:sz w:val="24"/>
      <w:lang w:val="en-US" w:eastAsia="zh-CN"/>
    </w:rPr>
  </w:style>
  <w:style w:type="character" w:customStyle="1" w:styleId="129">
    <w:name w:val="文档结构图 Char1"/>
    <w:autoRedefine/>
    <w:qFormat/>
    <w:uiPriority w:val="99"/>
    <w:rPr>
      <w:rFonts w:ascii="宋体" w:hAnsi="宋体" w:eastAsia="宋体"/>
      <w:kern w:val="2"/>
      <w:sz w:val="18"/>
    </w:rPr>
  </w:style>
  <w:style w:type="character" w:customStyle="1" w:styleId="130">
    <w:name w:val="批注框文本 Char1"/>
    <w:autoRedefine/>
    <w:qFormat/>
    <w:uiPriority w:val="99"/>
    <w:rPr>
      <w:kern w:val="2"/>
      <w:sz w:val="18"/>
    </w:rPr>
  </w:style>
  <w:style w:type="character" w:customStyle="1" w:styleId="131">
    <w:name w:val="_Style 130"/>
    <w:autoRedefine/>
    <w:qFormat/>
    <w:uiPriority w:val="99"/>
    <w:rPr>
      <w:i/>
      <w:color w:val="808080"/>
    </w:rPr>
  </w:style>
  <w:style w:type="character" w:customStyle="1" w:styleId="132">
    <w:name w:val="批注主题 Char"/>
    <w:autoRedefine/>
    <w:qFormat/>
    <w:uiPriority w:val="99"/>
    <w:rPr>
      <w:rFonts w:ascii="Times New Roman" w:hAnsi="Times New Roman" w:eastAsia="宋体" w:cs="Times New Roman"/>
      <w:b/>
      <w:bCs/>
      <w:sz w:val="24"/>
      <w:szCs w:val="24"/>
    </w:rPr>
  </w:style>
  <w:style w:type="character" w:customStyle="1" w:styleId="133">
    <w:name w:val="Quote Char"/>
    <w:autoRedefine/>
    <w:qFormat/>
    <w:locked/>
    <w:uiPriority w:val="99"/>
    <w:rPr>
      <w:rFonts w:cs="Times New Roman"/>
      <w:i/>
      <w:iCs/>
      <w:color w:val="000000"/>
    </w:rPr>
  </w:style>
  <w:style w:type="character" w:customStyle="1" w:styleId="134">
    <w:name w:val="Char Char2"/>
    <w:autoRedefine/>
    <w:qFormat/>
    <w:locked/>
    <w:uiPriority w:val="99"/>
    <w:rPr>
      <w:rFonts w:ascii="宋体" w:hAnsi="宋体" w:eastAsia="宋体"/>
      <w:kern w:val="2"/>
      <w:sz w:val="24"/>
      <w:lang w:val="en-US" w:eastAsia="zh-CN"/>
    </w:rPr>
  </w:style>
  <w:style w:type="character" w:customStyle="1" w:styleId="135">
    <w:name w:val="一级 Char"/>
    <w:link w:val="55"/>
    <w:autoRedefine/>
    <w:qFormat/>
    <w:uiPriority w:val="0"/>
    <w:rPr>
      <w:rFonts w:ascii="宋体" w:hAnsi="宋体"/>
      <w:b/>
      <w:sz w:val="32"/>
      <w:szCs w:val="32"/>
    </w:rPr>
  </w:style>
  <w:style w:type="character" w:customStyle="1" w:styleId="136">
    <w:name w:val="样式2 Char"/>
    <w:link w:val="56"/>
    <w:autoRedefine/>
    <w:qFormat/>
    <w:locked/>
    <w:uiPriority w:val="0"/>
    <w:rPr>
      <w:rFonts w:ascii="Times New Roman" w:hAnsi="Times New Roman" w:eastAsia="黑体"/>
      <w:b/>
      <w:kern w:val="2"/>
      <w:sz w:val="44"/>
      <w:szCs w:val="44"/>
    </w:rPr>
  </w:style>
  <w:style w:type="character" w:customStyle="1" w:styleId="137">
    <w:name w:val="Intense Quote Char"/>
    <w:autoRedefine/>
    <w:qFormat/>
    <w:locked/>
    <w:uiPriority w:val="99"/>
    <w:rPr>
      <w:rFonts w:cs="Times New Roman"/>
      <w:b/>
      <w:bCs/>
      <w:i/>
      <w:iCs/>
      <w:color w:val="4F81BD"/>
    </w:rPr>
  </w:style>
  <w:style w:type="character" w:customStyle="1" w:styleId="138">
    <w:name w:val="Intense Quote Char2"/>
    <w:autoRedefine/>
    <w:qFormat/>
    <w:locked/>
    <w:uiPriority w:val="99"/>
    <w:rPr>
      <w:rFonts w:ascii="Calibri" w:hAnsi="Calibri" w:eastAsia="宋体" w:cs="Times New Roman"/>
      <w:b/>
      <w:bCs/>
      <w:i/>
      <w:iCs/>
      <w:color w:val="4F81BD"/>
    </w:rPr>
  </w:style>
  <w:style w:type="character" w:customStyle="1" w:styleId="139">
    <w:name w:val="Char Char8"/>
    <w:autoRedefine/>
    <w:qFormat/>
    <w:uiPriority w:val="99"/>
    <w:rPr>
      <w:rFonts w:ascii="Arial" w:hAnsi="Arial" w:eastAsia="黑体"/>
      <w:b/>
      <w:kern w:val="2"/>
      <w:sz w:val="32"/>
      <w:lang w:val="en-US" w:eastAsia="zh-CN"/>
    </w:rPr>
  </w:style>
  <w:style w:type="character" w:customStyle="1" w:styleId="140">
    <w:name w:val="标题5 Char Char"/>
    <w:link w:val="57"/>
    <w:autoRedefine/>
    <w:qFormat/>
    <w:locked/>
    <w:uiPriority w:val="99"/>
    <w:rPr>
      <w:rFonts w:ascii="Arial" w:hAnsi="Arial"/>
      <w:b/>
      <w:sz w:val="32"/>
    </w:rPr>
  </w:style>
  <w:style w:type="character" w:customStyle="1" w:styleId="141">
    <w:name w:val="_Style 140"/>
    <w:autoRedefine/>
    <w:qFormat/>
    <w:uiPriority w:val="99"/>
    <w:rPr>
      <w:smallCaps/>
      <w:color w:val="C0504D"/>
      <w:u w:val="single"/>
    </w:rPr>
  </w:style>
  <w:style w:type="character" w:customStyle="1" w:styleId="142">
    <w:name w:val="Char Char9"/>
    <w:autoRedefine/>
    <w:qFormat/>
    <w:uiPriority w:val="99"/>
    <w:rPr>
      <w:kern w:val="2"/>
      <w:sz w:val="22"/>
    </w:rPr>
  </w:style>
  <w:style w:type="character" w:customStyle="1" w:styleId="143">
    <w:name w:val="Subtitle Char"/>
    <w:autoRedefine/>
    <w:qFormat/>
    <w:locked/>
    <w:uiPriority w:val="99"/>
    <w:rPr>
      <w:rFonts w:ascii="Cambria" w:hAnsi="Cambria" w:cs="Times New Roman"/>
      <w:b/>
      <w:bCs/>
      <w:kern w:val="28"/>
      <w:sz w:val="32"/>
      <w:szCs w:val="32"/>
    </w:rPr>
  </w:style>
  <w:style w:type="character" w:customStyle="1" w:styleId="144">
    <w:name w:val="_Style 143"/>
    <w:autoRedefine/>
    <w:qFormat/>
    <w:uiPriority w:val="99"/>
    <w:rPr>
      <w:b/>
      <w:smallCaps/>
      <w:spacing w:val="5"/>
    </w:rPr>
  </w:style>
  <w:style w:type="character" w:customStyle="1" w:styleId="145">
    <w:name w:val="三级 Char"/>
    <w:link w:val="58"/>
    <w:autoRedefine/>
    <w:qFormat/>
    <w:uiPriority w:val="0"/>
    <w:rPr>
      <w:rFonts w:ascii="宋体" w:hAnsi="宋体"/>
      <w:b/>
      <w:bCs/>
      <w:sz w:val="24"/>
      <w:szCs w:val="24"/>
    </w:rPr>
  </w:style>
  <w:style w:type="character" w:customStyle="1" w:styleId="146">
    <w:name w:val="_Style 145"/>
    <w:autoRedefine/>
    <w:qFormat/>
    <w:uiPriority w:val="99"/>
    <w:rPr>
      <w:b/>
      <w:i/>
      <w:color w:val="4F81BD"/>
    </w:rPr>
  </w:style>
  <w:style w:type="character" w:customStyle="1" w:styleId="147">
    <w:name w:val="Subtitle Char1"/>
    <w:autoRedefine/>
    <w:qFormat/>
    <w:locked/>
    <w:uiPriority w:val="99"/>
    <w:rPr>
      <w:rFonts w:ascii="Cambria" w:hAnsi="Cambria" w:cs="Times New Roman"/>
      <w:b/>
      <w:bCs/>
      <w:kern w:val="28"/>
      <w:sz w:val="32"/>
      <w:szCs w:val="32"/>
    </w:rPr>
  </w:style>
  <w:style w:type="character" w:customStyle="1" w:styleId="148">
    <w:name w:val="纯文本 Char"/>
    <w:autoRedefine/>
    <w:qFormat/>
    <w:uiPriority w:val="99"/>
    <w:rPr>
      <w:rFonts w:ascii="宋体" w:hAnsi="Courier New" w:eastAsia="宋体" w:cs="Courier New"/>
      <w:sz w:val="21"/>
      <w:szCs w:val="21"/>
    </w:rPr>
  </w:style>
  <w:style w:type="character" w:customStyle="1" w:styleId="149">
    <w:name w:val="Char Char"/>
    <w:autoRedefine/>
    <w:qFormat/>
    <w:uiPriority w:val="99"/>
    <w:rPr>
      <w:rFonts w:ascii="Arial" w:hAnsi="Arial" w:eastAsia="黑体"/>
      <w:b/>
      <w:kern w:val="2"/>
      <w:sz w:val="32"/>
      <w:lang w:val="en-US" w:eastAsia="zh-CN"/>
    </w:rPr>
  </w:style>
  <w:style w:type="character" w:customStyle="1" w:styleId="150">
    <w:name w:val="Quote Char1"/>
    <w:autoRedefine/>
    <w:qFormat/>
    <w:locked/>
    <w:uiPriority w:val="99"/>
    <w:rPr>
      <w:rFonts w:cs="Times New Roman"/>
      <w:i/>
      <w:iCs/>
      <w:color w:val="000000"/>
    </w:rPr>
  </w:style>
  <w:style w:type="character" w:customStyle="1" w:styleId="151">
    <w:name w:val="明显引用 Char"/>
    <w:autoRedefine/>
    <w:qFormat/>
    <w:uiPriority w:val="99"/>
    <w:rPr>
      <w:rFonts w:ascii="Times New Roman" w:hAnsi="Times New Roman" w:eastAsia="宋体" w:cs="Times New Roman"/>
      <w:b/>
      <w:bCs/>
      <w:i/>
      <w:iCs/>
      <w:color w:val="4F81BD"/>
      <w:sz w:val="24"/>
      <w:szCs w:val="24"/>
    </w:rPr>
  </w:style>
  <w:style w:type="character" w:customStyle="1" w:styleId="152">
    <w:name w:val="标题 3 字符"/>
    <w:autoRedefine/>
    <w:qFormat/>
    <w:locked/>
    <w:uiPriority w:val="99"/>
    <w:rPr>
      <w:rFonts w:ascii="Times New Roman" w:hAnsi="Times New Roman" w:eastAsia="宋体" w:cs="Times New Roman"/>
      <w:b/>
      <w:bCs/>
      <w:sz w:val="32"/>
      <w:szCs w:val="32"/>
    </w:rPr>
  </w:style>
  <w:style w:type="character" w:customStyle="1" w:styleId="153">
    <w:name w:val="Subtitle Char2"/>
    <w:autoRedefine/>
    <w:qFormat/>
    <w:locked/>
    <w:uiPriority w:val="99"/>
    <w:rPr>
      <w:rFonts w:ascii="Cambria" w:hAnsi="Cambria" w:eastAsia="宋体" w:cs="Times New Roman"/>
      <w:b/>
      <w:bCs/>
      <w:kern w:val="28"/>
      <w:sz w:val="32"/>
      <w:szCs w:val="32"/>
    </w:rPr>
  </w:style>
  <w:style w:type="character" w:customStyle="1" w:styleId="154">
    <w:name w:val="样式 标题 2 + Times New Roman 四号 非加粗 段前: 5 磅 段后: 0 磅 行距: 固定值 20... Char"/>
    <w:link w:val="60"/>
    <w:autoRedefine/>
    <w:qFormat/>
    <w:locked/>
    <w:uiPriority w:val="99"/>
    <w:rPr>
      <w:rFonts w:ascii="Times New Roman" w:hAnsi="Times New Roman" w:eastAsia="黑体" w:cs="宋体"/>
      <w:sz w:val="20"/>
      <w:szCs w:val="20"/>
    </w:rPr>
  </w:style>
  <w:style w:type="character" w:customStyle="1" w:styleId="155">
    <w:name w:val="正文文本 2 Char"/>
    <w:autoRedefine/>
    <w:qFormat/>
    <w:uiPriority w:val="99"/>
    <w:rPr>
      <w:rFonts w:ascii="Times New Roman" w:hAnsi="Times New Roman" w:eastAsia="宋体" w:cs="Times New Roman"/>
      <w:sz w:val="24"/>
      <w:szCs w:val="24"/>
    </w:rPr>
  </w:style>
  <w:style w:type="character" w:customStyle="1" w:styleId="156">
    <w:name w:val="副标题 Char"/>
    <w:autoRedefine/>
    <w:qFormat/>
    <w:uiPriority w:val="99"/>
    <w:rPr>
      <w:rFonts w:ascii="Cambria" w:hAnsi="Cambria" w:eastAsia="宋体" w:cs="Times New Roman"/>
      <w:b/>
      <w:bCs/>
      <w:kern w:val="28"/>
      <w:sz w:val="32"/>
      <w:szCs w:val="32"/>
    </w:rPr>
  </w:style>
  <w:style w:type="character" w:customStyle="1" w:styleId="157">
    <w:name w:val="日期 Char1"/>
    <w:autoRedefine/>
    <w:qFormat/>
    <w:uiPriority w:val="99"/>
    <w:rPr>
      <w:kern w:val="2"/>
      <w:sz w:val="22"/>
    </w:rPr>
  </w:style>
  <w:style w:type="character" w:customStyle="1" w:styleId="158">
    <w:name w:val="Body Text Indent 2 Char"/>
    <w:autoRedefine/>
    <w:qFormat/>
    <w:locked/>
    <w:uiPriority w:val="99"/>
    <w:rPr>
      <w:rFonts w:ascii="Times New Roman" w:hAnsi="Times New Roman" w:eastAsia="宋体" w:cs="Times New Roman"/>
      <w:sz w:val="24"/>
      <w:szCs w:val="24"/>
    </w:rPr>
  </w:style>
  <w:style w:type="character" w:customStyle="1" w:styleId="159">
    <w:name w:val="Char Char24"/>
    <w:autoRedefine/>
    <w:qFormat/>
    <w:locked/>
    <w:uiPriority w:val="99"/>
    <w:rPr>
      <w:rFonts w:ascii="宋体" w:hAnsi="宋体" w:eastAsia="宋体" w:cs="Times New Roman"/>
      <w:sz w:val="24"/>
      <w:szCs w:val="24"/>
      <w:lang w:bidi="ar-SA"/>
    </w:rPr>
  </w:style>
  <w:style w:type="character" w:customStyle="1" w:styleId="160">
    <w:name w:val="Char Char17"/>
    <w:autoRedefine/>
    <w:qFormat/>
    <w:uiPriority w:val="99"/>
    <w:rPr>
      <w:rFonts w:ascii="Cambria" w:hAnsi="Cambria" w:eastAsia="宋体"/>
      <w:b/>
      <w:kern w:val="2"/>
      <w:sz w:val="32"/>
    </w:rPr>
  </w:style>
  <w:style w:type="character" w:customStyle="1" w:styleId="161">
    <w:name w:val="批注框文本 Char3"/>
    <w:autoRedefine/>
    <w:qFormat/>
    <w:locked/>
    <w:uiPriority w:val="99"/>
    <w:rPr>
      <w:rFonts w:cs="Times New Roman"/>
      <w:sz w:val="18"/>
      <w:szCs w:val="18"/>
    </w:rPr>
  </w:style>
  <w:style w:type="character" w:customStyle="1" w:styleId="162">
    <w:name w:val="明显引用 Char1"/>
    <w:link w:val="61"/>
    <w:autoRedefine/>
    <w:qFormat/>
    <w:uiPriority w:val="99"/>
    <w:rPr>
      <w:rFonts w:ascii="Calibri" w:hAnsi="Calibri" w:eastAsia="宋体" w:cs="Times New Roman"/>
      <w:b/>
      <w:bCs/>
      <w:i/>
      <w:iCs/>
      <w:color w:val="4F81BD"/>
      <w:kern w:val="0"/>
      <w:sz w:val="20"/>
      <w:szCs w:val="20"/>
    </w:rPr>
  </w:style>
  <w:style w:type="character" w:customStyle="1" w:styleId="163">
    <w:name w:val="正文1 Char"/>
    <w:link w:val="62"/>
    <w:autoRedefine/>
    <w:qFormat/>
    <w:locked/>
    <w:uiPriority w:val="99"/>
    <w:rPr>
      <w:rFonts w:eastAsia="宋体"/>
    </w:rPr>
  </w:style>
  <w:style w:type="character" w:customStyle="1" w:styleId="164">
    <w:name w:val="font161"/>
    <w:autoRedefine/>
    <w:qFormat/>
    <w:uiPriority w:val="99"/>
    <w:rPr>
      <w:b/>
      <w:sz w:val="32"/>
    </w:rPr>
  </w:style>
  <w:style w:type="character" w:customStyle="1" w:styleId="165">
    <w:name w:val="Comment Subject Char"/>
    <w:autoRedefine/>
    <w:qFormat/>
    <w:locked/>
    <w:uiPriority w:val="99"/>
    <w:rPr>
      <w:rFonts w:eastAsia="宋体" w:cs="Times New Roman"/>
      <w:b/>
      <w:bCs/>
      <w:sz w:val="24"/>
      <w:szCs w:val="24"/>
    </w:rPr>
  </w:style>
  <w:style w:type="character" w:customStyle="1" w:styleId="166">
    <w:name w:val="Footnote Text Char"/>
    <w:autoRedefine/>
    <w:qFormat/>
    <w:locked/>
    <w:uiPriority w:val="99"/>
    <w:rPr>
      <w:rFonts w:ascii="Times New Roman" w:hAnsi="Times New Roman" w:cs="Times New Roman"/>
    </w:rPr>
  </w:style>
  <w:style w:type="character" w:customStyle="1" w:styleId="167">
    <w:name w:val="Body Text 2 Char"/>
    <w:autoRedefine/>
    <w:qFormat/>
    <w:locked/>
    <w:uiPriority w:val="99"/>
    <w:rPr>
      <w:rFonts w:ascii="宋体" w:eastAsia="宋体" w:cs="Times New Roman"/>
      <w:color w:val="000000"/>
      <w:sz w:val="18"/>
      <w:szCs w:val="18"/>
    </w:rPr>
  </w:style>
  <w:style w:type="character" w:customStyle="1" w:styleId="168">
    <w:name w:val="标题 1.1 Char"/>
    <w:autoRedefine/>
    <w:qFormat/>
    <w:uiPriority w:val="99"/>
    <w:rPr>
      <w:rFonts w:ascii="Arial" w:hAnsi="Arial" w:eastAsia="黑体"/>
      <w:b/>
      <w:kern w:val="2"/>
      <w:sz w:val="32"/>
      <w:lang w:val="en-US" w:eastAsia="zh-CN"/>
    </w:rPr>
  </w:style>
  <w:style w:type="character" w:customStyle="1" w:styleId="169">
    <w:name w:val="Title Char"/>
    <w:autoRedefine/>
    <w:qFormat/>
    <w:locked/>
    <w:uiPriority w:val="99"/>
    <w:rPr>
      <w:rFonts w:ascii="Arial" w:hAnsi="Arial" w:eastAsia="宋体" w:cs="Times New Roman"/>
      <w:b/>
      <w:sz w:val="32"/>
    </w:rPr>
  </w:style>
  <w:style w:type="character" w:customStyle="1" w:styleId="170">
    <w:name w:val="Quote Char2"/>
    <w:autoRedefine/>
    <w:qFormat/>
    <w:locked/>
    <w:uiPriority w:val="99"/>
    <w:rPr>
      <w:rFonts w:ascii="Calibri" w:hAnsi="Calibri" w:eastAsia="宋体" w:cs="Times New Roman"/>
      <w:i/>
      <w:iCs/>
      <w:color w:val="000000"/>
    </w:rPr>
  </w:style>
  <w:style w:type="character" w:customStyle="1" w:styleId="171">
    <w:name w:val="_Style 170"/>
    <w:autoRedefine/>
    <w:qFormat/>
    <w:uiPriority w:val="99"/>
    <w:rPr>
      <w:b/>
      <w:smallCaps/>
      <w:color w:val="C0504D"/>
      <w:spacing w:val="5"/>
      <w:u w:val="single"/>
    </w:rPr>
  </w:style>
  <w:style w:type="character" w:customStyle="1" w:styleId="172">
    <w:name w:val="Comment Text Char"/>
    <w:autoRedefine/>
    <w:qFormat/>
    <w:locked/>
    <w:uiPriority w:val="99"/>
    <w:rPr>
      <w:rFonts w:eastAsia="宋体" w:cs="Times New Roman"/>
      <w:sz w:val="24"/>
      <w:szCs w:val="24"/>
    </w:rPr>
  </w:style>
  <w:style w:type="character" w:customStyle="1" w:styleId="173">
    <w:name w:val="Char Char23"/>
    <w:autoRedefine/>
    <w:qFormat/>
    <w:locked/>
    <w:uiPriority w:val="99"/>
    <w:rPr>
      <w:rFonts w:ascii="宋体" w:hAnsi="宋体" w:eastAsia="宋体"/>
      <w:kern w:val="2"/>
      <w:sz w:val="24"/>
      <w:lang w:val="en-US" w:eastAsia="zh-CN"/>
    </w:rPr>
  </w:style>
  <w:style w:type="character" w:customStyle="1" w:styleId="174">
    <w:name w:val="正文文本缩进 3 Char1"/>
    <w:autoRedefine/>
    <w:qFormat/>
    <w:uiPriority w:val="99"/>
    <w:rPr>
      <w:rFonts w:cs="Times New Roman"/>
      <w:kern w:val="2"/>
      <w:sz w:val="16"/>
      <w:szCs w:val="16"/>
    </w:rPr>
  </w:style>
  <w:style w:type="character" w:customStyle="1" w:styleId="175">
    <w:name w:val="Title Char1"/>
    <w:autoRedefine/>
    <w:qFormat/>
    <w:locked/>
    <w:uiPriority w:val="99"/>
    <w:rPr>
      <w:rFonts w:ascii="Cambria" w:hAnsi="Cambria" w:cs="Times New Roman"/>
      <w:b/>
      <w:bCs/>
      <w:sz w:val="32"/>
      <w:szCs w:val="32"/>
    </w:rPr>
  </w:style>
  <w:style w:type="character" w:customStyle="1" w:styleId="176">
    <w:name w:val="Title Char2"/>
    <w:autoRedefine/>
    <w:qFormat/>
    <w:locked/>
    <w:uiPriority w:val="99"/>
    <w:rPr>
      <w:rFonts w:ascii="Cambria" w:hAnsi="Cambria" w:eastAsia="宋体" w:cs="Times New Roman"/>
      <w:b/>
      <w:bCs/>
      <w:sz w:val="32"/>
      <w:szCs w:val="32"/>
    </w:rPr>
  </w:style>
  <w:style w:type="character" w:customStyle="1" w:styleId="177">
    <w:name w:val="Date Char"/>
    <w:autoRedefine/>
    <w:qFormat/>
    <w:locked/>
    <w:uiPriority w:val="99"/>
    <w:rPr>
      <w:rFonts w:ascii="Times New Roman" w:hAnsi="Times New Roman" w:eastAsia="宋体" w:cs="Times New Roman"/>
      <w:sz w:val="24"/>
      <w:szCs w:val="24"/>
    </w:rPr>
  </w:style>
  <w:style w:type="character" w:customStyle="1" w:styleId="178">
    <w:name w:val="Body Text 3 Char"/>
    <w:autoRedefine/>
    <w:qFormat/>
    <w:locked/>
    <w:uiPriority w:val="99"/>
    <w:rPr>
      <w:rFonts w:ascii="宋体" w:hAnsi="Times New Roman" w:eastAsia="宋体" w:cs="Times New Roman"/>
      <w:sz w:val="20"/>
      <w:szCs w:val="20"/>
    </w:rPr>
  </w:style>
  <w:style w:type="character" w:customStyle="1" w:styleId="179">
    <w:name w:val="标题 2 Char"/>
    <w:autoRedefine/>
    <w:qFormat/>
    <w:uiPriority w:val="99"/>
    <w:rPr>
      <w:rFonts w:ascii="Cambria" w:hAnsi="Cambria" w:eastAsia="宋体" w:cs="Times New Roman"/>
      <w:b/>
      <w:bCs/>
      <w:kern w:val="0"/>
      <w:sz w:val="32"/>
      <w:szCs w:val="32"/>
    </w:rPr>
  </w:style>
  <w:style w:type="character" w:customStyle="1" w:styleId="180">
    <w:name w:val="Intense Quote Char1"/>
    <w:autoRedefine/>
    <w:qFormat/>
    <w:locked/>
    <w:uiPriority w:val="99"/>
    <w:rPr>
      <w:rFonts w:cs="Times New Roman"/>
      <w:b/>
      <w:bCs/>
      <w:i/>
      <w:iCs/>
      <w:color w:val="4F81BD"/>
    </w:rPr>
  </w:style>
  <w:style w:type="character" w:customStyle="1" w:styleId="181">
    <w:name w:val="HTML Markup"/>
    <w:autoRedefine/>
    <w:qFormat/>
    <w:uiPriority w:val="99"/>
    <w:rPr>
      <w:rFonts w:cs="Times New Roman"/>
      <w:vanish/>
      <w:color w:val="FF0000"/>
    </w:rPr>
  </w:style>
  <w:style w:type="character" w:customStyle="1" w:styleId="182">
    <w:name w:val="Plain Text Char"/>
    <w:autoRedefine/>
    <w:qFormat/>
    <w:locked/>
    <w:uiPriority w:val="99"/>
    <w:rPr>
      <w:rFonts w:ascii="宋体" w:hAnsi="Courier New" w:eastAsia="宋体" w:cs="Times New Roman"/>
    </w:rPr>
  </w:style>
  <w:style w:type="character" w:customStyle="1" w:styleId="183">
    <w:name w:val="二级 Char"/>
    <w:link w:val="63"/>
    <w:autoRedefine/>
    <w:qFormat/>
    <w:uiPriority w:val="0"/>
    <w:rPr>
      <w:rFonts w:ascii="宋体" w:hAnsi="宋体"/>
      <w:b/>
      <w:bCs/>
      <w:sz w:val="28"/>
      <w:szCs w:val="28"/>
    </w:rPr>
  </w:style>
  <w:style w:type="character" w:customStyle="1" w:styleId="184">
    <w:name w:val="Body Text Indent 3 Char"/>
    <w:autoRedefine/>
    <w:qFormat/>
    <w:locked/>
    <w:uiPriority w:val="99"/>
    <w:rPr>
      <w:rFonts w:ascii="Times New Roman" w:hAnsi="Times New Roman" w:eastAsia="宋体" w:cs="Times New Roman"/>
      <w:sz w:val="16"/>
      <w:szCs w:val="16"/>
    </w:rPr>
  </w:style>
  <w:style w:type="character" w:customStyle="1" w:styleId="185">
    <w:name w:val="textcontents"/>
    <w:autoRedefine/>
    <w:qFormat/>
    <w:uiPriority w:val="99"/>
    <w:rPr>
      <w:rFonts w:ascii="Times New Roman" w:hAnsi="Times New Roman"/>
    </w:rPr>
  </w:style>
  <w:style w:type="character" w:customStyle="1" w:styleId="186">
    <w:name w:val="批注文字 Char"/>
    <w:autoRedefine/>
    <w:qFormat/>
    <w:uiPriority w:val="99"/>
    <w:rPr>
      <w:rFonts w:ascii="Times New Roman" w:hAnsi="Times New Roman" w:eastAsia="宋体" w:cs="Times New Roman"/>
      <w:sz w:val="24"/>
      <w:szCs w:val="24"/>
    </w:rPr>
  </w:style>
  <w:style w:type="character" w:customStyle="1" w:styleId="187">
    <w:name w:val="引用 Char"/>
    <w:autoRedefine/>
    <w:qFormat/>
    <w:uiPriority w:val="99"/>
    <w:rPr>
      <w:rFonts w:ascii="Times New Roman" w:hAnsi="Times New Roman" w:eastAsia="宋体" w:cs="Times New Roman"/>
      <w:i/>
      <w:iCs/>
      <w:color w:val="000000"/>
      <w:sz w:val="24"/>
      <w:szCs w:val="24"/>
    </w:rPr>
  </w:style>
  <w:style w:type="character" w:customStyle="1" w:styleId="188">
    <w:name w:val="引用 Char1"/>
    <w:link w:val="64"/>
    <w:autoRedefine/>
    <w:qFormat/>
    <w:uiPriority w:val="99"/>
    <w:rPr>
      <w:rFonts w:ascii="Calibri" w:hAnsi="Calibri" w:eastAsia="宋体" w:cs="Times New Roman"/>
      <w:i/>
      <w:iCs/>
      <w:color w:val="000000"/>
      <w:kern w:val="0"/>
      <w:sz w:val="20"/>
      <w:szCs w:val="20"/>
    </w:rPr>
  </w:style>
  <w:style w:type="character" w:customStyle="1" w:styleId="189">
    <w:name w:val="批注主题 Char1"/>
    <w:autoRedefine/>
    <w:qFormat/>
    <w:uiPriority w:val="99"/>
    <w:rPr>
      <w:b/>
      <w:kern w:val="2"/>
      <w:sz w:val="22"/>
    </w:rPr>
  </w:style>
  <w:style w:type="character" w:customStyle="1" w:styleId="190">
    <w:name w:val="批注文字 Char Char"/>
    <w:autoRedefine/>
    <w:qFormat/>
    <w:uiPriority w:val="99"/>
    <w:rPr>
      <w:rFonts w:ascii="宋体" w:hAnsi="Times New Roman" w:eastAsia="宋体"/>
      <w:sz w:val="20"/>
    </w:rPr>
  </w:style>
  <w:style w:type="character" w:customStyle="1" w:styleId="191">
    <w:name w:val="Body Text Char"/>
    <w:autoRedefine/>
    <w:qFormat/>
    <w:locked/>
    <w:uiPriority w:val="99"/>
    <w:rPr>
      <w:rFonts w:ascii="Times New Roman" w:hAnsi="Times New Roman" w:eastAsia="宋体" w:cs="Times New Roman"/>
      <w:sz w:val="24"/>
      <w:szCs w:val="24"/>
    </w:rPr>
  </w:style>
  <w:style w:type="character" w:customStyle="1" w:styleId="192">
    <w:name w:val="font61"/>
    <w:basedOn w:val="48"/>
    <w:autoRedefine/>
    <w:qFormat/>
    <w:uiPriority w:val="0"/>
    <w:rPr>
      <w:rFonts w:ascii="仿宋_GB2312" w:eastAsia="仿宋_GB2312" w:cs="仿宋_GB2312"/>
      <w:color w:val="000000"/>
      <w:sz w:val="20"/>
      <w:szCs w:val="20"/>
      <w:u w:val="none"/>
    </w:rPr>
  </w:style>
  <w:style w:type="character" w:customStyle="1" w:styleId="193">
    <w:name w:val="font71"/>
    <w:basedOn w:val="48"/>
    <w:autoRedefine/>
    <w:qFormat/>
    <w:uiPriority w:val="0"/>
    <w:rPr>
      <w:rFonts w:hint="eastAsia" w:ascii="宋体" w:hAnsi="宋体" w:eastAsia="宋体" w:cs="宋体"/>
      <w:color w:val="000000"/>
      <w:sz w:val="20"/>
      <w:szCs w:val="20"/>
      <w:u w:val="none"/>
    </w:rPr>
  </w:style>
  <w:style w:type="character" w:customStyle="1" w:styleId="194">
    <w:name w:val="font11"/>
    <w:basedOn w:val="48"/>
    <w:autoRedefine/>
    <w:qFormat/>
    <w:uiPriority w:val="0"/>
    <w:rPr>
      <w:rFonts w:hint="eastAsia" w:ascii="宋体" w:hAnsi="宋体" w:eastAsia="宋体" w:cs="宋体"/>
      <w:color w:val="000000"/>
      <w:sz w:val="20"/>
      <w:szCs w:val="20"/>
      <w:u w:val="none"/>
    </w:rPr>
  </w:style>
  <w:style w:type="character" w:customStyle="1" w:styleId="195">
    <w:name w:val="font81"/>
    <w:basedOn w:val="48"/>
    <w:autoRedefine/>
    <w:qFormat/>
    <w:uiPriority w:val="0"/>
    <w:rPr>
      <w:rFonts w:hint="default" w:ascii="Times New Roman" w:hAnsi="Times New Roman" w:cs="Times New Roman"/>
      <w:color w:val="000000"/>
      <w:sz w:val="20"/>
      <w:szCs w:val="20"/>
      <w:u w:val="none"/>
    </w:rPr>
  </w:style>
  <w:style w:type="character" w:customStyle="1" w:styleId="196">
    <w:name w:val="font01"/>
    <w:basedOn w:val="48"/>
    <w:autoRedefine/>
    <w:qFormat/>
    <w:uiPriority w:val="0"/>
    <w:rPr>
      <w:rFonts w:hint="eastAsia" w:ascii="仿宋_GB2312" w:eastAsia="仿宋_GB2312" w:cs="仿宋_GB2312"/>
      <w:color w:val="000000"/>
      <w:sz w:val="20"/>
      <w:szCs w:val="20"/>
      <w:u w:val="none"/>
    </w:rPr>
  </w:style>
  <w:style w:type="character" w:customStyle="1" w:styleId="197">
    <w:name w:val="font91"/>
    <w:basedOn w:val="48"/>
    <w:autoRedefine/>
    <w:qFormat/>
    <w:uiPriority w:val="0"/>
    <w:rPr>
      <w:rFonts w:ascii="微软雅黑" w:hAnsi="微软雅黑" w:eastAsia="微软雅黑" w:cs="微软雅黑"/>
      <w:color w:val="000000"/>
      <w:sz w:val="20"/>
      <w:szCs w:val="20"/>
      <w:u w:val="none"/>
    </w:rPr>
  </w:style>
  <w:style w:type="character" w:customStyle="1" w:styleId="198">
    <w:name w:val="font21"/>
    <w:basedOn w:val="48"/>
    <w:autoRedefine/>
    <w:qFormat/>
    <w:uiPriority w:val="0"/>
    <w:rPr>
      <w:rFonts w:hint="eastAsia" w:ascii="宋体" w:hAnsi="宋体" w:eastAsia="宋体" w:cs="宋体"/>
      <w:color w:val="000000"/>
      <w:sz w:val="18"/>
      <w:szCs w:val="18"/>
      <w:u w:val="none"/>
    </w:rPr>
  </w:style>
  <w:style w:type="character" w:customStyle="1" w:styleId="199">
    <w:name w:val="font51"/>
    <w:basedOn w:val="48"/>
    <w:autoRedefine/>
    <w:qFormat/>
    <w:uiPriority w:val="0"/>
    <w:rPr>
      <w:rFonts w:ascii="仿宋_GB2312" w:eastAsia="仿宋_GB2312" w:cs="仿宋_GB2312"/>
      <w:color w:val="000000"/>
      <w:sz w:val="20"/>
      <w:szCs w:val="20"/>
      <w:u w:val="none"/>
    </w:rPr>
  </w:style>
  <w:style w:type="character" w:customStyle="1" w:styleId="200">
    <w:name w:val="font31"/>
    <w:basedOn w:val="48"/>
    <w:autoRedefine/>
    <w:qFormat/>
    <w:uiPriority w:val="0"/>
    <w:rPr>
      <w:rFonts w:hint="eastAsia" w:ascii="宋体" w:hAnsi="宋体" w:eastAsia="宋体" w:cs="宋体"/>
      <w:color w:val="000000"/>
      <w:sz w:val="18"/>
      <w:szCs w:val="18"/>
      <w:u w:val="none"/>
    </w:rPr>
  </w:style>
  <w:style w:type="character" w:customStyle="1" w:styleId="201">
    <w:name w:val="font41"/>
    <w:basedOn w:val="48"/>
    <w:autoRedefine/>
    <w:qFormat/>
    <w:uiPriority w:val="0"/>
    <w:rPr>
      <w:rFonts w:hint="eastAsia" w:ascii="等线" w:hAnsi="等线" w:eastAsia="等线" w:cs="等线"/>
      <w:color w:val="000000"/>
      <w:sz w:val="20"/>
      <w:szCs w:val="20"/>
      <w:u w:val="none"/>
    </w:rPr>
  </w:style>
  <w:style w:type="paragraph" w:customStyle="1" w:styleId="20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7c6498c-0552-4c59-ae9c-47d58bc557e6}"/>
        <w:style w:val=""/>
        <w:category>
          <w:name w:val="常规"/>
          <w:gallery w:val="placeholder"/>
        </w:category>
        <w:types>
          <w:type w:val="bbPlcHdr"/>
        </w:types>
        <w:behaviors>
          <w:behavior w:val="content"/>
        </w:behaviors>
        <w:description w:val=""/>
        <w:guid w:val="{47c6498c-0552-4c59-ae9c-47d58bc557e6}"/>
      </w:docPartPr>
      <w:docPartBody>
        <w:p w14:paraId="56D260C0">
          <w:r>
            <w:rPr>
              <w:color w:val="808080"/>
            </w:rPr>
            <w:t>单击此处输入文字。</w:t>
          </w:r>
        </w:p>
      </w:docPartBody>
    </w:docPart>
    <w:docPart>
      <w:docPartPr>
        <w:name w:val="{b51bf0f7-022a-4559-abc0-0d1bd889bd8a}"/>
        <w:style w:val=""/>
        <w:category>
          <w:name w:val="常规"/>
          <w:gallery w:val="placeholder"/>
        </w:category>
        <w:types>
          <w:type w:val="bbPlcHdr"/>
        </w:types>
        <w:behaviors>
          <w:behavior w:val="content"/>
        </w:behaviors>
        <w:description w:val=""/>
        <w:guid w:val="{b51bf0f7-022a-4559-abc0-0d1bd889bd8a}"/>
      </w:docPartPr>
      <w:docPartBody>
        <w:p w14:paraId="2FB8458B">
          <w:r>
            <w:rPr>
              <w:color w:val="808080"/>
            </w:rPr>
            <w:t>单击此处输入文字。</w:t>
          </w:r>
        </w:p>
      </w:docPartBody>
    </w:docPart>
    <w:docPart>
      <w:docPartPr>
        <w:name w:val="{c25d4978-c5d2-477a-91bb-0b09dc94c11a}"/>
        <w:style w:val=""/>
        <w:category>
          <w:name w:val="常规"/>
          <w:gallery w:val="placeholder"/>
        </w:category>
        <w:types>
          <w:type w:val="bbPlcHdr"/>
        </w:types>
        <w:behaviors>
          <w:behavior w:val="content"/>
        </w:behaviors>
        <w:description w:val=""/>
        <w:guid w:val="{c25d4978-c5d2-477a-91bb-0b09dc94c11a}"/>
      </w:docPartPr>
      <w:docPartBody>
        <w:p w14:paraId="74F1D920">
          <w:r>
            <w:rPr>
              <w:color w:val="808080"/>
            </w:rPr>
            <w:t>单击此处输入文字。</w:t>
          </w:r>
        </w:p>
      </w:docPartBody>
    </w:docPart>
    <w:docPart>
      <w:docPartPr>
        <w:name w:val="{4dee9d09-12f1-4d62-ac96-cef84ef3c0db}"/>
        <w:style w:val=""/>
        <w:category>
          <w:name w:val="常规"/>
          <w:gallery w:val="placeholder"/>
        </w:category>
        <w:types>
          <w:type w:val="bbPlcHdr"/>
        </w:types>
        <w:behaviors>
          <w:behavior w:val="content"/>
        </w:behaviors>
        <w:description w:val=""/>
        <w:guid w:val="{4dee9d09-12f1-4d62-ac96-cef84ef3c0db}"/>
      </w:docPartPr>
      <w:docPartBody>
        <w:p w14:paraId="6CE3175D">
          <w:r>
            <w:rPr>
              <w:color w:val="808080"/>
            </w:rPr>
            <w:t>单击此处输入文字。</w:t>
          </w:r>
        </w:p>
      </w:docPartBody>
    </w:docPart>
    <w:docPart>
      <w:docPartPr>
        <w:name w:val="{baa7020d-cbdc-4b80-9be8-db23af549d25}"/>
        <w:style w:val=""/>
        <w:category>
          <w:name w:val="常规"/>
          <w:gallery w:val="placeholder"/>
        </w:category>
        <w:types>
          <w:type w:val="bbPlcHdr"/>
        </w:types>
        <w:behaviors>
          <w:behavior w:val="content"/>
        </w:behaviors>
        <w:description w:val=""/>
        <w:guid w:val="{baa7020d-cbdc-4b80-9be8-db23af549d25}"/>
      </w:docPartPr>
      <w:docPartBody>
        <w:p w14:paraId="4852EBF7">
          <w:r>
            <w:rPr>
              <w:color w:val="808080"/>
            </w:rPr>
            <w:t>单击此处输入文字。</w:t>
          </w:r>
        </w:p>
      </w:docPartBody>
    </w:docPart>
    <w:docPart>
      <w:docPartPr>
        <w:name w:val="{37c66cee-39be-405c-8a3b-ccee1d5988c9}"/>
        <w:style w:val=""/>
        <w:category>
          <w:name w:val="常规"/>
          <w:gallery w:val="placeholder"/>
        </w:category>
        <w:types>
          <w:type w:val="bbPlcHdr"/>
        </w:types>
        <w:behaviors>
          <w:behavior w:val="content"/>
        </w:behaviors>
        <w:description w:val=""/>
        <w:guid w:val="{37c66cee-39be-405c-8a3b-ccee1d5988c9}"/>
      </w:docPartPr>
      <w:docPartBody>
        <w:p w14:paraId="02F0C2C0">
          <w:r>
            <w:rPr>
              <w:color w:val="808080"/>
            </w:rPr>
            <w:t>单击此处输入文字。</w:t>
          </w:r>
        </w:p>
      </w:docPartBody>
    </w:docPart>
    <w:docPart>
      <w:docPartPr>
        <w:name w:val="{fdd5341b-5a73-400a-9400-40fd51aceecd}"/>
        <w:style w:val=""/>
        <w:category>
          <w:name w:val="常规"/>
          <w:gallery w:val="placeholder"/>
        </w:category>
        <w:types>
          <w:type w:val="bbPlcHdr"/>
        </w:types>
        <w:behaviors>
          <w:behavior w:val="content"/>
        </w:behaviors>
        <w:description w:val=""/>
        <w:guid w:val="{fdd5341b-5a73-400a-9400-40fd51aceecd}"/>
      </w:docPartPr>
      <w:docPartBody>
        <w:p w14:paraId="7536BCB5">
          <w:r>
            <w:rPr>
              <w:color w:val="808080"/>
            </w:rPr>
            <w:t>单击此处输入文字。</w:t>
          </w:r>
        </w:p>
      </w:docPartBody>
    </w:docPart>
    <w:docPart>
      <w:docPartPr>
        <w:name w:val="{c8d31c09-d53b-47a6-805d-f697f880347d}"/>
        <w:style w:val=""/>
        <w:category>
          <w:name w:val="常规"/>
          <w:gallery w:val="placeholder"/>
        </w:category>
        <w:types>
          <w:type w:val="bbPlcHdr"/>
        </w:types>
        <w:behaviors>
          <w:behavior w:val="content"/>
        </w:behaviors>
        <w:description w:val=""/>
        <w:guid w:val="{c8d31c09-d53b-47a6-805d-f697f880347d}"/>
      </w:docPartPr>
      <w:docPartBody>
        <w:p w14:paraId="294698A0">
          <w:r>
            <w:rPr>
              <w:color w:val="808080"/>
            </w:rPr>
            <w:t>单击此处输入文字。</w:t>
          </w:r>
        </w:p>
      </w:docPartBody>
    </w:docPart>
    <w:docPart>
      <w:docPartPr>
        <w:name w:val="{ebff3c89-b4c8-46ae-97ac-e8b2495addcb}"/>
        <w:style w:val=""/>
        <w:category>
          <w:name w:val="常规"/>
          <w:gallery w:val="placeholder"/>
        </w:category>
        <w:types>
          <w:type w:val="bbPlcHdr"/>
        </w:types>
        <w:behaviors>
          <w:behavior w:val="content"/>
        </w:behaviors>
        <w:description w:val=""/>
        <w:guid w:val="{ebff3c89-b4c8-46ae-97ac-e8b2495addcb}"/>
      </w:docPartPr>
      <w:docPartBody>
        <w:p w14:paraId="128AE7D0">
          <w:r>
            <w:rPr>
              <w:color w:val="808080"/>
            </w:rPr>
            <w:t>单击此处输入文字。</w:t>
          </w:r>
        </w:p>
      </w:docPartBody>
    </w:docPart>
    <w:docPart>
      <w:docPartPr>
        <w:name w:val="{ec6c8546-bf52-4b04-a1f8-d58ee26a9361}"/>
        <w:style w:val=""/>
        <w:category>
          <w:name w:val="常规"/>
          <w:gallery w:val="placeholder"/>
        </w:category>
        <w:types>
          <w:type w:val="bbPlcHdr"/>
        </w:types>
        <w:behaviors>
          <w:behavior w:val="content"/>
        </w:behaviors>
        <w:description w:val=""/>
        <w:guid w:val="{ec6c8546-bf52-4b04-a1f8-d58ee26a9361}"/>
      </w:docPartPr>
      <w:docPartBody>
        <w:p w14:paraId="50CA0774">
          <w:r>
            <w:rPr>
              <w:color w:val="808080"/>
            </w:rPr>
            <w:t>单击此处输入文字。</w:t>
          </w:r>
        </w:p>
      </w:docPartBody>
    </w:docPart>
    <w:docPart>
      <w:docPartPr>
        <w:name w:val="{cd7df482-2d0d-47bc-9c73-7f2245ce7394}"/>
        <w:style w:val=""/>
        <w:category>
          <w:name w:val="常规"/>
          <w:gallery w:val="placeholder"/>
        </w:category>
        <w:types>
          <w:type w:val="bbPlcHdr"/>
        </w:types>
        <w:behaviors>
          <w:behavior w:val="content"/>
        </w:behaviors>
        <w:description w:val=""/>
        <w:guid w:val="{cd7df482-2d0d-47bc-9c73-7f2245ce7394}"/>
      </w:docPartPr>
      <w:docPartBody>
        <w:p w14:paraId="64194AF2">
          <w:r>
            <w:rPr>
              <w:color w:val="808080"/>
            </w:rPr>
            <w:t>单击此处输入文字。</w:t>
          </w:r>
        </w:p>
      </w:docPartBody>
    </w:docPart>
    <w:docPart>
      <w:docPartPr>
        <w:name w:val="{b985d993-bf46-4bf7-a804-6cac3911529b}"/>
        <w:style w:val=""/>
        <w:category>
          <w:name w:val="常规"/>
          <w:gallery w:val="placeholder"/>
        </w:category>
        <w:types>
          <w:type w:val="bbPlcHdr"/>
        </w:types>
        <w:behaviors>
          <w:behavior w:val="content"/>
        </w:behaviors>
        <w:description w:val=""/>
        <w:guid w:val="{b985d993-bf46-4bf7-a804-6cac3911529b}"/>
      </w:docPartPr>
      <w:docPartBody>
        <w:p w14:paraId="5DF21558">
          <w:r>
            <w:rPr>
              <w:color w:val="808080"/>
            </w:rPr>
            <w:t>单击此处输入文字。</w:t>
          </w:r>
        </w:p>
      </w:docPartBody>
    </w:docPart>
    <w:docPart>
      <w:docPartPr>
        <w:name w:val="{ea41b6b9-b3e2-4665-ba57-84d017007248}"/>
        <w:style w:val=""/>
        <w:category>
          <w:name w:val="常规"/>
          <w:gallery w:val="placeholder"/>
        </w:category>
        <w:types>
          <w:type w:val="bbPlcHdr"/>
        </w:types>
        <w:behaviors>
          <w:behavior w:val="content"/>
        </w:behaviors>
        <w:description w:val=""/>
        <w:guid w:val="{ea41b6b9-b3e2-4665-ba57-84d017007248}"/>
      </w:docPartPr>
      <w:docPartBody>
        <w:p w14:paraId="7661CCC0">
          <w:r>
            <w:rPr>
              <w:color w:val="808080"/>
            </w:rPr>
            <w:t>单击此处输入文字。</w:t>
          </w:r>
        </w:p>
      </w:docPartBody>
    </w:docPart>
    <w:docPart>
      <w:docPartPr>
        <w:name w:val="{2bb8ae50-9b2b-4e83-bd42-d0ed4c0d1e74}"/>
        <w:style w:val=""/>
        <w:category>
          <w:name w:val="常规"/>
          <w:gallery w:val="placeholder"/>
        </w:category>
        <w:types>
          <w:type w:val="bbPlcHdr"/>
        </w:types>
        <w:behaviors>
          <w:behavior w:val="content"/>
        </w:behaviors>
        <w:description w:val=""/>
        <w:guid w:val="{2bb8ae50-9b2b-4e83-bd42-d0ed4c0d1e74}"/>
      </w:docPartPr>
      <w:docPartBody>
        <w:p w14:paraId="20D916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18744</Words>
  <Characters>20545</Characters>
  <Lines>183</Lines>
  <Paragraphs>51</Paragraphs>
  <TotalTime>1</TotalTime>
  <ScaleCrop>false</ScaleCrop>
  <LinksUpToDate>false</LinksUpToDate>
  <CharactersWithSpaces>21671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2022-01-02T12:08:00Z</dcterms:created>
  <dc:creator>lixue</dc:creator>
  <cp:lastModifiedBy>史美伟</cp:lastModifiedBy>
  <cp:lastPrinted>2025-05-12T07:52:00Z</cp:lastPrinted>
  <dcterms:modified xsi:type="dcterms:W3CDTF">2025-07-02T07:10:34Z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71BC6D86E9F549BCB60A30BFA97BB28C</vt:lpwstr>
  </property>
  <property fmtid="{D5CDD505-2E9C-101B-9397-08002B2CF9AE}" pid="4" name="KSOTemplateDocerSaveRecord">
    <vt:lpwstr>eyJoZGlkIjoiODZkNjExNWZlMWRjZGM0MmRiNTUzN2UxMjdjNWUyZWYiLCJ1c2VySWQiOiI1MTUxNzA1ODQifQ==</vt:lpwstr>
  </property>
</Properties>
</file>